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Theme="minorEastAsia" w:hAnsiTheme="minorEastAsia" w:eastAsiaTheme="minorEastAsia" w:cstheme="minorEastAsia"/>
          <w:b/>
          <w:sz w:val="28"/>
          <w:szCs w:val="28"/>
        </w:rPr>
      </w:pPr>
      <w:bookmarkStart w:id="0" w:name="_Hlk27817781"/>
      <w:r>
        <w:rPr>
          <w:rFonts w:hint="eastAsia" w:asciiTheme="minorEastAsia" w:hAnsiTheme="minorEastAsia" w:eastAsiaTheme="minorEastAsia" w:cstheme="minorEastAsia"/>
          <w:b/>
          <w:sz w:val="28"/>
          <w:szCs w:val="28"/>
        </w:rPr>
        <w:t>华农财产保险股份有限公司</w:t>
      </w:r>
    </w:p>
    <w:p>
      <w:pPr>
        <w:pStyle w:val="15"/>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0" w:firstLineChars="0"/>
        <w:jc w:val="center"/>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住院医疗费用保险普惠B版条款（互联网专属）</w:t>
      </w:r>
    </w:p>
    <w:p>
      <w:pPr>
        <w:pStyle w:val="15"/>
        <w:spacing w:line="360" w:lineRule="auto"/>
        <w:ind w:left="0" w:leftChars="0" w:firstLine="0" w:firstLineChars="0"/>
        <w:jc w:val="center"/>
        <w:rPr>
          <w:rFonts w:hint="default" w:asciiTheme="minorEastAsia" w:hAnsiTheme="minorEastAsia" w:eastAsiaTheme="minorEastAsia" w:cstheme="minorEastAsia"/>
          <w:b/>
          <w:szCs w:val="21"/>
          <w:lang w:val="en-US" w:eastAsia="zh-CN"/>
        </w:rPr>
      </w:pPr>
      <w:r>
        <w:rPr>
          <w:rFonts w:hint="eastAsia" w:asciiTheme="minorEastAsia" w:hAnsiTheme="minorEastAsia" w:eastAsiaTheme="minorEastAsia" w:cstheme="minorEastAsia"/>
          <w:b/>
          <w:szCs w:val="21"/>
          <w:lang w:val="en-US" w:eastAsia="zh-CN"/>
        </w:rPr>
        <w:t>注册编号：C00010132512022052509663</w:t>
      </w:r>
    </w:p>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总则</w:t>
      </w:r>
      <w:bookmarkStart w:id="17" w:name="_GoBack"/>
      <w:bookmarkEnd w:id="17"/>
    </w:p>
    <w:p>
      <w:pPr>
        <w:tabs>
          <w:tab w:val="left" w:pos="1260"/>
          <w:tab w:val="left" w:pos="2838"/>
        </w:tabs>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第一条 </w:t>
      </w:r>
      <w:r>
        <w:rPr>
          <w:rFonts w:hint="eastAsia" w:asciiTheme="minorEastAsia" w:hAnsiTheme="minorEastAsia" w:eastAsiaTheme="minorEastAsia" w:cstheme="minorEastAsia"/>
          <w:szCs w:val="21"/>
        </w:rPr>
        <w:t>本保险合同由保险条款、投保单、保险单或其他保险凭证、批单等组成。凡涉及本保险合同的约定，均应采用书面形式。</w:t>
      </w:r>
    </w:p>
    <w:p>
      <w:pPr>
        <w:pStyle w:val="19"/>
        <w:autoSpaceDE w:val="0"/>
        <w:autoSpaceDN w:val="0"/>
        <w:adjustRightInd w:val="0"/>
        <w:spacing w:line="360" w:lineRule="auto"/>
        <w:ind w:firstLine="388" w:firstLineChars="184"/>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第二条 </w:t>
      </w:r>
      <w:r>
        <w:rPr>
          <w:rFonts w:hint="eastAsia" w:asciiTheme="minorEastAsia" w:hAnsiTheme="minorEastAsia" w:eastAsiaTheme="minorEastAsia" w:cstheme="minorEastAsia"/>
          <w:szCs w:val="21"/>
        </w:rPr>
        <w:t>凡投保时年龄在</w:t>
      </w:r>
      <w:r>
        <w:rPr>
          <w:rFonts w:hint="eastAsia" w:asciiTheme="minorEastAsia" w:hAnsiTheme="minorEastAsia" w:eastAsiaTheme="minorEastAsia" w:cstheme="minorEastAsia"/>
          <w:b/>
          <w:bCs/>
          <w:szCs w:val="21"/>
        </w:rPr>
        <w:t>0周岁（见释义1）</w:t>
      </w:r>
      <w:r>
        <w:rPr>
          <w:rFonts w:hint="eastAsia" w:asciiTheme="minorEastAsia" w:hAnsiTheme="minorEastAsia" w:eastAsiaTheme="minorEastAsia" w:cstheme="minorEastAsia"/>
          <w:szCs w:val="21"/>
        </w:rPr>
        <w:t>（投保时被保险人为0周岁的，应当为出生满30日且已健康出院的婴儿）至100周岁，身体健康、能正常工作、生活的自然人可作为本保险合同的被保险人。</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第三条 </w:t>
      </w:r>
      <w:r>
        <w:rPr>
          <w:rFonts w:hint="eastAsia" w:asciiTheme="minorEastAsia" w:hAnsiTheme="minorEastAsia" w:eastAsiaTheme="minorEastAsia" w:cstheme="minorEastAsia"/>
          <w:szCs w:val="21"/>
        </w:rPr>
        <w:t>具有完全民事行为能力的被保险人本人、对被保险人具有保险利益的其他自然人可作为本保险合同的投保人。</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 xml:space="preserve">第四条 </w:t>
      </w:r>
      <w:r>
        <w:rPr>
          <w:rFonts w:hint="eastAsia" w:asciiTheme="minorEastAsia" w:hAnsiTheme="minorEastAsia" w:eastAsiaTheme="minorEastAsia" w:cstheme="minorEastAsia"/>
          <w:szCs w:val="21"/>
        </w:rPr>
        <w:t>除另有约定外，本保险合同的各项保险金受益人均为被保险人本人。</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 xml:space="preserve">第五条 </w:t>
      </w:r>
      <w:r>
        <w:rPr>
          <w:rFonts w:hint="eastAsia" w:asciiTheme="minorEastAsia" w:hAnsiTheme="minorEastAsia" w:eastAsiaTheme="minorEastAsia" w:cstheme="minorEastAsia"/>
          <w:szCs w:val="21"/>
        </w:rPr>
        <w:t>本保险合同约定的保险区域为</w:t>
      </w:r>
      <w:r>
        <w:rPr>
          <w:rFonts w:hint="eastAsia" w:asciiTheme="minorEastAsia" w:hAnsiTheme="minorEastAsia" w:eastAsiaTheme="minorEastAsia" w:cstheme="minorEastAsia"/>
          <w:b/>
          <w:bCs/>
          <w:szCs w:val="21"/>
        </w:rPr>
        <w:t>中国大陆境内（不包含香港、澳门和台湾）,保险人仅对被保险人在约定保险区域内发生的保险事故承担保险责任。</w:t>
      </w:r>
    </w:p>
    <w:bookmarkEnd w:id="0"/>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保险责任</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第六条</w:t>
      </w:r>
      <w:bookmarkStart w:id="1" w:name="_Hlk31882434"/>
      <w:r>
        <w:rPr>
          <w:rFonts w:hint="eastAsia" w:asciiTheme="minorEastAsia" w:hAnsiTheme="minorEastAsia" w:eastAsiaTheme="minorEastAsia" w:cstheme="minorEastAsia"/>
          <w:b/>
          <w:bCs/>
          <w:szCs w:val="21"/>
        </w:rPr>
        <w:t xml:space="preserve"> 本保险合同的保险责任包括“一般医疗保险金”和“重大疾病（见释义2）医疗保险金”。</w:t>
      </w:r>
      <w:bookmarkEnd w:id="1"/>
    </w:p>
    <w:p>
      <w:pPr>
        <w:adjustRightInd w:val="0"/>
        <w:snapToGrid w:val="0"/>
        <w:spacing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（一）一般医疗保险金</w:t>
      </w:r>
      <w:bookmarkStart w:id="2" w:name="_Hlk31885856"/>
    </w:p>
    <w:p>
      <w:pPr>
        <w:adjustRightInd w:val="0"/>
        <w:snapToGrid w:val="0"/>
        <w:spacing w:line="360" w:lineRule="auto"/>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在保险期间内，被保险人因遭受</w:t>
      </w:r>
      <w:r>
        <w:rPr>
          <w:rFonts w:hint="eastAsia" w:asciiTheme="minorEastAsia" w:hAnsiTheme="minorEastAsia" w:eastAsiaTheme="minorEastAsia" w:cstheme="minorEastAsia"/>
          <w:b/>
          <w:bCs/>
          <w:szCs w:val="21"/>
        </w:rPr>
        <w:t>意外伤害（见释义</w:t>
      </w:r>
      <w:r>
        <w:rPr>
          <w:rFonts w:asciiTheme="minorEastAsia" w:hAnsiTheme="minorEastAsia" w:eastAsiaTheme="minorEastAsia" w:cstheme="minorEastAsia"/>
          <w:b/>
          <w:bCs/>
          <w:szCs w:val="21"/>
        </w:rPr>
        <w:t>3</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事故或在</w:t>
      </w:r>
      <w:r>
        <w:rPr>
          <w:rFonts w:hint="eastAsia" w:asciiTheme="minorEastAsia" w:hAnsiTheme="minorEastAsia" w:eastAsiaTheme="minorEastAsia" w:cstheme="minorEastAsia"/>
          <w:b/>
          <w:bCs/>
          <w:szCs w:val="21"/>
        </w:rPr>
        <w:t>等待期（见释义</w:t>
      </w:r>
      <w:r>
        <w:rPr>
          <w:rFonts w:asciiTheme="minorEastAsia" w:hAnsiTheme="minorEastAsia" w:eastAsiaTheme="minorEastAsia" w:cstheme="minorEastAsia"/>
          <w:b/>
          <w:bCs/>
          <w:szCs w:val="21"/>
        </w:rPr>
        <w:t>4</w:t>
      </w: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0日</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后因患疾病，在本保险合同约定的</w:t>
      </w:r>
      <w:r>
        <w:rPr>
          <w:rFonts w:hint="eastAsia" w:asciiTheme="minorEastAsia" w:hAnsiTheme="minorEastAsia" w:eastAsiaTheme="minorEastAsia" w:cstheme="minorEastAsia"/>
          <w:b/>
          <w:bCs/>
          <w:szCs w:val="21"/>
        </w:rPr>
        <w:t>医院（见释义</w:t>
      </w:r>
      <w:r>
        <w:rPr>
          <w:rFonts w:asciiTheme="minorEastAsia" w:hAnsiTheme="minorEastAsia" w:eastAsiaTheme="minorEastAsia" w:cstheme="minorEastAsia"/>
          <w:b/>
          <w:bCs/>
          <w:szCs w:val="21"/>
        </w:rPr>
        <w:t>5</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接受治疗，且被保险人经医院诊断必须接受</w:t>
      </w:r>
      <w:r>
        <w:rPr>
          <w:rFonts w:hint="eastAsia" w:asciiTheme="minorEastAsia" w:hAnsiTheme="minorEastAsia" w:eastAsiaTheme="minorEastAsia" w:cstheme="minorEastAsia"/>
          <w:b/>
          <w:bCs/>
          <w:szCs w:val="21"/>
        </w:rPr>
        <w:t>住院（见释义</w:t>
      </w:r>
      <w:r>
        <w:rPr>
          <w:rFonts w:asciiTheme="minorEastAsia" w:hAnsiTheme="minorEastAsia" w:eastAsiaTheme="minorEastAsia" w:cstheme="minorEastAsia"/>
          <w:b/>
          <w:bCs/>
          <w:szCs w:val="21"/>
        </w:rPr>
        <w:t>6</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治疗的，</w:t>
      </w:r>
      <w:r>
        <w:rPr>
          <w:rFonts w:hint="eastAsia" w:asciiTheme="minorEastAsia" w:hAnsiTheme="minorEastAsia" w:eastAsiaTheme="minorEastAsia" w:cstheme="minorEastAsia"/>
          <w:b/>
          <w:bCs/>
          <w:szCs w:val="21"/>
        </w:rPr>
        <w:t>保险人按照本保险合同的约定，在一般医疗保险金额内承担被保险人本次住院期间发生的必需且合理（见释义</w:t>
      </w:r>
      <w:r>
        <w:rPr>
          <w:rFonts w:asciiTheme="minorEastAsia" w:hAnsiTheme="minorEastAsia" w:eastAsiaTheme="minorEastAsia" w:cstheme="minorEastAsia"/>
          <w:b/>
          <w:bCs/>
          <w:szCs w:val="21"/>
        </w:rPr>
        <w:t>7</w:t>
      </w:r>
      <w:r>
        <w:rPr>
          <w:rFonts w:hint="eastAsia" w:asciiTheme="minorEastAsia" w:hAnsiTheme="minorEastAsia" w:eastAsiaTheme="minorEastAsia" w:cstheme="minorEastAsia"/>
          <w:b/>
          <w:bCs/>
          <w:szCs w:val="21"/>
        </w:rPr>
        <w:t>）的住院医疗费用（见释义</w:t>
      </w:r>
      <w:r>
        <w:rPr>
          <w:rFonts w:asciiTheme="minorEastAsia" w:hAnsiTheme="minorEastAsia" w:eastAsiaTheme="minorEastAsia" w:cstheme="minorEastAsia"/>
          <w:b/>
          <w:bCs/>
          <w:szCs w:val="21"/>
        </w:rPr>
        <w:t>8</w:t>
      </w:r>
      <w:r>
        <w:rPr>
          <w:rFonts w:hint="eastAsia" w:asciiTheme="minorEastAsia" w:hAnsiTheme="minorEastAsia" w:eastAsiaTheme="minorEastAsia" w:cstheme="minorEastAsia"/>
          <w:b/>
          <w:bCs/>
          <w:szCs w:val="21"/>
        </w:rPr>
        <w:t>）。</w:t>
      </w:r>
      <w:bookmarkEnd w:id="2"/>
      <w:bookmarkStart w:id="3" w:name="_Hlk31885912"/>
      <w:bookmarkStart w:id="4" w:name="_Hlk31886817"/>
    </w:p>
    <w:bookmarkEnd w:id="3"/>
    <w:p>
      <w:pPr>
        <w:adjustRightInd w:val="0"/>
        <w:snapToGrid w:val="0"/>
        <w:spacing w:line="360" w:lineRule="auto"/>
        <w:ind w:firstLine="420" w:firstLineChars="200"/>
        <w:rPr>
          <w:rFonts w:asciiTheme="minorEastAsia" w:hAnsiTheme="minorEastAsia" w:eastAsiaTheme="minorEastAsia" w:cstheme="minorEastAsia"/>
          <w:b/>
          <w:bCs/>
          <w:szCs w:val="21"/>
        </w:rPr>
      </w:pPr>
      <w:bookmarkStart w:id="5" w:name="_Hlk31886257"/>
      <w:r>
        <w:rPr>
          <w:rFonts w:hint="eastAsia" w:asciiTheme="minorEastAsia" w:hAnsiTheme="minorEastAsia" w:eastAsiaTheme="minorEastAsia" w:cstheme="minorEastAsia"/>
          <w:szCs w:val="21"/>
        </w:rPr>
        <w:t>被保险人在保险期间内发生的并延续至本保险合同届满日后30日内（含第30日）的一般住院治疗，</w:t>
      </w:r>
      <w:r>
        <w:rPr>
          <w:rFonts w:hint="eastAsia" w:asciiTheme="minorEastAsia" w:hAnsiTheme="minorEastAsia" w:eastAsiaTheme="minorEastAsia" w:cstheme="minorEastAsia"/>
          <w:b/>
          <w:bCs/>
          <w:szCs w:val="21"/>
        </w:rPr>
        <w:t>保险人仍按照本保险合同的约定，在一般医疗保险金额内承担在此住院期间发生的必需且合理的住院医疗费用。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保险人对于</w:t>
      </w:r>
      <w:r>
        <w:rPr>
          <w:rFonts w:hint="eastAsia" w:asciiTheme="minorEastAsia" w:hAnsiTheme="minorEastAsia" w:eastAsiaTheme="minorEastAsia" w:cstheme="minorEastAsia"/>
          <w:b/>
          <w:bCs/>
          <w:szCs w:val="21"/>
        </w:rPr>
        <w:t>以上住院医疗费用在扣除本保险合同约定的免赔额后，依照约定的赔付比例进行给付。</w:t>
      </w:r>
      <w:r>
        <w:rPr>
          <w:rFonts w:hint="eastAsia" w:asciiTheme="minorEastAsia" w:hAnsiTheme="minorEastAsia" w:eastAsiaTheme="minorEastAsia" w:cstheme="minorEastAsia"/>
          <w:b/>
          <w:szCs w:val="21"/>
        </w:rPr>
        <w:t>保险人对于</w:t>
      </w:r>
      <w:r>
        <w:rPr>
          <w:rFonts w:hint="eastAsia" w:asciiTheme="minorEastAsia" w:hAnsiTheme="minorEastAsia" w:eastAsiaTheme="minorEastAsia" w:cstheme="minorEastAsia"/>
          <w:b/>
          <w:bCs/>
          <w:szCs w:val="21"/>
        </w:rPr>
        <w:t>以上住院医疗费用的</w:t>
      </w:r>
      <w:r>
        <w:rPr>
          <w:rFonts w:hint="eastAsia" w:asciiTheme="minorEastAsia" w:hAnsiTheme="minorEastAsia" w:eastAsiaTheme="minorEastAsia" w:cstheme="minorEastAsia"/>
          <w:b/>
          <w:szCs w:val="21"/>
        </w:rPr>
        <w:t>累计赔偿金额之和以本保险合同约定的一般医疗保险金的保险金额为限，一次或累计赔偿金额达到保险单载明的一般医疗保险金额时，保险人对于被保险人在一般医疗保险金项下的保险责任终止。</w:t>
      </w:r>
      <w:bookmarkEnd w:id="5"/>
    </w:p>
    <w:bookmarkEnd w:id="4"/>
    <w:p>
      <w:p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w:t>
      </w:r>
      <w:bookmarkStart w:id="6" w:name="_Hlk31887097"/>
      <w:r>
        <w:rPr>
          <w:rFonts w:hint="eastAsia" w:asciiTheme="minorEastAsia" w:hAnsiTheme="minorEastAsia" w:eastAsiaTheme="minorEastAsia" w:cstheme="minorEastAsia"/>
          <w:b/>
          <w:bCs/>
          <w:szCs w:val="21"/>
        </w:rPr>
        <w:t>重大疾病医疗保险金</w:t>
      </w:r>
      <w:bookmarkEnd w:id="6"/>
    </w:p>
    <w:p>
      <w:pPr>
        <w:adjustRightInd w:val="0"/>
        <w:snapToGrid w:val="0"/>
        <w:spacing w:line="360" w:lineRule="auto"/>
        <w:ind w:firstLine="420" w:firstLineChars="200"/>
        <w:rPr>
          <w:rFonts w:asciiTheme="minorEastAsia" w:hAnsiTheme="minorEastAsia" w:eastAsiaTheme="minorEastAsia" w:cstheme="minorEastAsia"/>
          <w:szCs w:val="21"/>
        </w:rPr>
      </w:pPr>
      <w:bookmarkStart w:id="7" w:name="_Hlk31887114"/>
      <w:r>
        <w:rPr>
          <w:rFonts w:hint="eastAsia" w:asciiTheme="minorEastAsia" w:hAnsiTheme="minorEastAsia" w:eastAsiaTheme="minorEastAsia" w:cstheme="minorEastAsia"/>
          <w:szCs w:val="21"/>
        </w:rPr>
        <w:t>在保险期间内，被保险人因意外伤害或</w:t>
      </w:r>
      <w:r>
        <w:rPr>
          <w:rFonts w:hint="eastAsia" w:asciiTheme="minorEastAsia" w:hAnsiTheme="minorEastAsia" w:eastAsiaTheme="minorEastAsia" w:cstheme="minorEastAsia"/>
          <w:b/>
          <w:szCs w:val="21"/>
        </w:rPr>
        <w:t>等待期（</w:t>
      </w:r>
      <w:r>
        <w:rPr>
          <w:rFonts w:asciiTheme="minorEastAsia" w:hAnsiTheme="minorEastAsia" w:eastAsiaTheme="minorEastAsia" w:cstheme="minorEastAsia"/>
          <w:b/>
          <w:szCs w:val="21"/>
        </w:rPr>
        <w:t>30日</w:t>
      </w:r>
      <w:r>
        <w:rPr>
          <w:rFonts w:hint="eastAsia" w:asciiTheme="minorEastAsia" w:hAnsiTheme="minorEastAsia" w:eastAsiaTheme="minorEastAsia" w:cstheme="minorEastAsia"/>
          <w:b/>
          <w:szCs w:val="21"/>
        </w:rPr>
        <w:t>）后</w:t>
      </w:r>
      <w:r>
        <w:rPr>
          <w:rFonts w:hint="eastAsia" w:asciiTheme="minorEastAsia" w:hAnsiTheme="minorEastAsia" w:eastAsiaTheme="minorEastAsia" w:cstheme="minorEastAsia"/>
          <w:szCs w:val="21"/>
        </w:rPr>
        <w:t>因意外伤害之外的其他原因，经医院</w:t>
      </w:r>
      <w:r>
        <w:rPr>
          <w:rFonts w:hint="eastAsia" w:asciiTheme="minorEastAsia" w:hAnsiTheme="minorEastAsia" w:eastAsiaTheme="minorEastAsia" w:cstheme="minorEastAsia"/>
          <w:b/>
          <w:bCs/>
          <w:szCs w:val="21"/>
        </w:rPr>
        <w:t>专科医生（见释义</w:t>
      </w:r>
      <w:r>
        <w:rPr>
          <w:rFonts w:asciiTheme="minorEastAsia" w:hAnsiTheme="minorEastAsia" w:eastAsiaTheme="minorEastAsia" w:cstheme="minorEastAsia"/>
          <w:b/>
          <w:bCs/>
          <w:szCs w:val="21"/>
        </w:rPr>
        <w:t>9</w:t>
      </w:r>
      <w:r>
        <w:rPr>
          <w:rFonts w:hint="eastAsia" w:asciiTheme="minorEastAsia" w:hAnsiTheme="minorEastAsia" w:eastAsiaTheme="minorEastAsia" w:cstheme="minorEastAsia"/>
          <w:b/>
          <w:bCs/>
          <w:szCs w:val="21"/>
        </w:rPr>
        <w:t>）初次确诊（见释义</w:t>
      </w:r>
      <w:r>
        <w:rPr>
          <w:rFonts w:asciiTheme="minorEastAsia" w:hAnsiTheme="minorEastAsia" w:eastAsiaTheme="minorEastAsia" w:cstheme="minorEastAsia"/>
          <w:b/>
          <w:bCs/>
          <w:szCs w:val="21"/>
        </w:rPr>
        <w:t>10</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szCs w:val="21"/>
        </w:rPr>
        <w:t>本保险合同所定义的</w:t>
      </w:r>
      <w:r>
        <w:rPr>
          <w:rFonts w:hint="eastAsia" w:asciiTheme="minorEastAsia" w:hAnsiTheme="minorEastAsia" w:eastAsiaTheme="minorEastAsia" w:cstheme="minorEastAsia"/>
          <w:b/>
          <w:bCs/>
          <w:szCs w:val="21"/>
        </w:rPr>
        <w:t>重大疾病</w:t>
      </w:r>
      <w:r>
        <w:rPr>
          <w:rFonts w:hint="eastAsia" w:asciiTheme="minorEastAsia" w:hAnsiTheme="minorEastAsia" w:eastAsiaTheme="minorEastAsia" w:cstheme="minorEastAsia"/>
          <w:szCs w:val="21"/>
        </w:rPr>
        <w:t>（无论一种或者多种），</w:t>
      </w:r>
      <w:r>
        <w:rPr>
          <w:rFonts w:hint="eastAsia" w:asciiTheme="minorEastAsia" w:hAnsiTheme="minorEastAsia" w:eastAsiaTheme="minorEastAsia" w:cstheme="minorEastAsia"/>
          <w:b/>
          <w:bCs/>
          <w:szCs w:val="21"/>
        </w:rPr>
        <w:t>且必须接受住院治疗的，保险人首先按照本条第（一）款的约定在一般医疗保险金额内承担被保险人住院期间发生的必需且合理的重大疾病住院医疗费用（见释义11）；当保险人累计给付金额达到一般医疗保险金额后，保险人将按照本保险合同的约定，在重大疾病医疗保险金额内承担被保险人住院期间发生的必需且合理的重大疾病住院医疗费用。</w:t>
      </w:r>
      <w:bookmarkEnd w:id="7"/>
      <w:bookmarkStart w:id="8" w:name="_Hlk31887261"/>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在本保险合同到期日前发生的并延续至本保险合同到期日后30日内（含第30日）的重大疾病住院治疗，保险人仍将按照本保险合同的约定，在重大疾病医疗保险金额内承担在此住院期间发生的必需且合理的重大疾病住院医疗费用。</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保险人对于</w:t>
      </w:r>
      <w:r>
        <w:rPr>
          <w:rFonts w:hint="eastAsia" w:asciiTheme="minorEastAsia" w:hAnsiTheme="minorEastAsia" w:eastAsiaTheme="minorEastAsia" w:cstheme="minorEastAsia"/>
          <w:b/>
          <w:bCs/>
          <w:szCs w:val="21"/>
        </w:rPr>
        <w:t>以上重大疾病住院医疗费用在扣除本保险合同约定的免赔额后，依照约定的赔付比例进行给付。</w:t>
      </w:r>
      <w:r>
        <w:rPr>
          <w:rFonts w:hint="eastAsia" w:asciiTheme="minorEastAsia" w:hAnsiTheme="minorEastAsia" w:eastAsiaTheme="minorEastAsia" w:cstheme="minorEastAsia"/>
          <w:b/>
          <w:szCs w:val="21"/>
        </w:rPr>
        <w:t>保险人对于</w:t>
      </w:r>
      <w:r>
        <w:rPr>
          <w:rFonts w:hint="eastAsia" w:asciiTheme="minorEastAsia" w:hAnsiTheme="minorEastAsia" w:eastAsiaTheme="minorEastAsia" w:cstheme="minorEastAsia"/>
          <w:b/>
          <w:bCs/>
          <w:szCs w:val="21"/>
        </w:rPr>
        <w:t>重大疾病住院医疗费用</w:t>
      </w:r>
      <w:r>
        <w:rPr>
          <w:rFonts w:hint="eastAsia" w:asciiTheme="minorEastAsia" w:hAnsiTheme="minorEastAsia" w:eastAsiaTheme="minorEastAsia" w:cstheme="minorEastAsia"/>
          <w:b/>
          <w:szCs w:val="21"/>
        </w:rPr>
        <w:t>的累计赔偿金额之和以本保险合同约定的重大疾病医疗保险金的保险金额为限，一次或累计赔偿的金额达到本项重大疾病医疗保险金额时，保险人对于被保险人在重大疾病医疗保险金项下的保险责任终止。</w:t>
      </w:r>
      <w:bookmarkEnd w:id="8"/>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以上“（一）一般医疗保险金”和“（二）重大疾病医疗保险金”保险责任不包含本保险合同约定的医院或指定医疗机构内的医生开具的当前治疗必需的药品处方中所列无法在本保险合同约定的医院或指定医疗机构内获得的药品或者其他任何在本保险合同约定的医院或指定医疗机构内无法获得的医用材料或者任何其他医疗项目。本保险合同中所指的指定医疗机构由投保人与保险人在订立本保险合同时确定，并在本保险合同中载明。</w:t>
      </w:r>
    </w:p>
    <w:p>
      <w:p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（三）免赔额</w:t>
      </w:r>
    </w:p>
    <w:p>
      <w:p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免赔额的具体金额以及相关适用情况由投保人与保险人在订立本保险合同时协商确定，并在本保险合同中载明。</w:t>
      </w:r>
    </w:p>
    <w:p>
      <w:pPr>
        <w:adjustRightInd w:val="0"/>
        <w:snapToGrid w:val="0"/>
        <w:spacing w:line="360" w:lineRule="auto"/>
        <w:ind w:firstLine="42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本保险合同中所指免赔额均指年免赔额，指在本保险合同保险期间内，应由被保险人自行承担，本保险合同不予赔付的部分。被保险人从其他途径已获得的医疗费用补偿可用于抵扣免赔额，但通过基本医疗保险（见释义12）、公费医疗及政府救助获得的补偿，不可用于抵扣免赔额。</w:t>
      </w:r>
    </w:p>
    <w:p>
      <w:pPr>
        <w:adjustRightInd w:val="0"/>
        <w:snapToGrid w:val="0"/>
        <w:spacing w:line="360" w:lineRule="auto"/>
        <w:ind w:firstLine="42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（四）补偿原则和赔付标准</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本保险合同适用医疗费用补偿原则。若被保险人已从其他途径（包括但不限于基本医疗保险、公费医疗、工作单位、保险人在内的任何商业保险机构等）获得本保险合同责任范围内的医疗费用补偿，则保险人仅对被保险人实际发生的医疗费用扣除其所获医疗费用补偿后的余额按照本保险合同的约定进行赔偿。基本医疗保险个人账户部分支出视为个人支付，不属于已获得的医疗费用补偿。</w:t>
      </w:r>
    </w:p>
    <w:p>
      <w:p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以上</w:t>
      </w:r>
      <w:r>
        <w:rPr>
          <w:rFonts w:hint="eastAsia" w:asciiTheme="minorEastAsia" w:hAnsiTheme="minorEastAsia" w:eastAsiaTheme="minorEastAsia" w:cstheme="minorEastAsia"/>
          <w:b/>
          <w:bCs/>
          <w:szCs w:val="21"/>
        </w:rPr>
        <w:t>“（一）一般医疗保险金”和“（二）重大疾病医疗保险金”由</w:t>
      </w:r>
      <w:bookmarkStart w:id="9" w:name="_Hlk31888680"/>
      <w:r>
        <w:rPr>
          <w:rFonts w:hint="eastAsia" w:asciiTheme="minorEastAsia" w:hAnsiTheme="minorEastAsia" w:eastAsiaTheme="minorEastAsia" w:cstheme="minorEastAsia"/>
          <w:b/>
          <w:bCs/>
          <w:szCs w:val="21"/>
        </w:rPr>
        <w:t>投保人和保险人按照以下情况分别约定赔付比例</w:t>
      </w:r>
      <w:bookmarkEnd w:id="9"/>
      <w:r>
        <w:rPr>
          <w:rFonts w:hint="eastAsia" w:asciiTheme="minorEastAsia" w:hAnsiTheme="minorEastAsia" w:eastAsiaTheme="minorEastAsia" w:cstheme="minorEastAsia"/>
          <w:b/>
          <w:bCs/>
          <w:szCs w:val="21"/>
        </w:rPr>
        <w:t>，并在保险单中载明：</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一般医疗保险金及重大疾病医疗保险金：</w:t>
      </w:r>
    </w:p>
    <w:p>
      <w:pPr>
        <w:tabs>
          <w:tab w:val="left" w:pos="709"/>
        </w:tabs>
        <w:adjustRightInd w:val="0"/>
        <w:snapToGrid w:val="0"/>
        <w:spacing w:line="360" w:lineRule="auto"/>
        <w:ind w:firstLine="422" w:firstLineChars="200"/>
        <w:rPr>
          <w:rFonts w:asciiTheme="minorEastAsia" w:hAnsiTheme="minorEastAsia" w:eastAsiaTheme="minorEastAsia" w:cstheme="minorEastAsia"/>
          <w:b/>
          <w:szCs w:val="21"/>
        </w:rPr>
      </w:pPr>
      <w:bookmarkStart w:id="10" w:name="_Hlk31888599"/>
      <w:r>
        <w:rPr>
          <w:rFonts w:hint="eastAsia" w:asciiTheme="minorEastAsia" w:hAnsiTheme="minorEastAsia" w:eastAsiaTheme="minorEastAsia" w:cstheme="minorEastAsia"/>
          <w:b/>
          <w:szCs w:val="21"/>
        </w:rPr>
        <w:t>（1）若被保险人以参加基本医疗保险或公费医疗身份投保，并以基本医疗保险或公费医疗身份就诊并结算，</w:t>
      </w:r>
      <w:r>
        <w:rPr>
          <w:rFonts w:hint="eastAsia" w:asciiTheme="minorEastAsia" w:hAnsiTheme="minorEastAsia" w:eastAsiaTheme="minorEastAsia" w:cstheme="minorEastAsia"/>
          <w:b/>
          <w:bCs/>
          <w:szCs w:val="21"/>
        </w:rPr>
        <w:t>赔</w:t>
      </w:r>
      <w:r>
        <w:rPr>
          <w:rFonts w:hint="eastAsia" w:asciiTheme="minorEastAsia" w:hAnsiTheme="minorEastAsia" w:eastAsiaTheme="minorEastAsia" w:cstheme="minorEastAsia"/>
          <w:b/>
          <w:szCs w:val="21"/>
        </w:rPr>
        <w:t>付比例为90%。</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2）若被保险人以参加</w:t>
      </w:r>
      <w:r>
        <w:rPr>
          <w:rFonts w:hint="eastAsia" w:asciiTheme="minorEastAsia" w:hAnsiTheme="minorEastAsia" w:eastAsiaTheme="minorEastAsia" w:cstheme="minorEastAsia"/>
          <w:b/>
          <w:szCs w:val="21"/>
        </w:rPr>
        <w:t>基本医疗保险或公费医疗身份投保，但未以基本医疗保险或公费医疗身份就诊并结算，</w:t>
      </w:r>
      <w:r>
        <w:rPr>
          <w:rFonts w:hint="eastAsia" w:asciiTheme="minorEastAsia" w:hAnsiTheme="minorEastAsia" w:eastAsiaTheme="minorEastAsia" w:cstheme="minorEastAsia"/>
          <w:b/>
          <w:bCs/>
          <w:szCs w:val="21"/>
        </w:rPr>
        <w:t>赔</w:t>
      </w:r>
      <w:r>
        <w:rPr>
          <w:rFonts w:hint="eastAsia" w:asciiTheme="minorEastAsia" w:hAnsiTheme="minorEastAsia" w:eastAsiaTheme="minorEastAsia" w:cstheme="minorEastAsia"/>
          <w:b/>
          <w:szCs w:val="21"/>
        </w:rPr>
        <w:t>付比例为5</w:t>
      </w:r>
      <w:r>
        <w:rPr>
          <w:rFonts w:asciiTheme="minorEastAsia" w:hAnsiTheme="minorEastAsia" w:eastAsiaTheme="minorEastAsia" w:cstheme="minorEastAsia"/>
          <w:b/>
          <w:szCs w:val="21"/>
        </w:rPr>
        <w:t>0%。</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3）若被保险人未以参加</w:t>
      </w:r>
      <w:r>
        <w:rPr>
          <w:rFonts w:hint="eastAsia" w:asciiTheme="minorEastAsia" w:hAnsiTheme="minorEastAsia" w:eastAsiaTheme="minorEastAsia" w:cstheme="minorEastAsia"/>
          <w:b/>
          <w:szCs w:val="21"/>
        </w:rPr>
        <w:t>基本医疗保险或公费医疗身份投保，</w:t>
      </w:r>
      <w:r>
        <w:rPr>
          <w:rFonts w:hint="eastAsia" w:asciiTheme="minorEastAsia" w:hAnsiTheme="minorEastAsia" w:eastAsiaTheme="minorEastAsia" w:cstheme="minorEastAsia"/>
          <w:b/>
          <w:bCs/>
          <w:szCs w:val="21"/>
        </w:rPr>
        <w:t>赔</w:t>
      </w:r>
      <w:r>
        <w:rPr>
          <w:rFonts w:hint="eastAsia" w:asciiTheme="minorEastAsia" w:hAnsiTheme="minorEastAsia" w:eastAsiaTheme="minorEastAsia" w:cstheme="minorEastAsia"/>
          <w:b/>
          <w:szCs w:val="21"/>
        </w:rPr>
        <w:t>付比例为9</w:t>
      </w:r>
      <w:r>
        <w:rPr>
          <w:rFonts w:asciiTheme="minorEastAsia" w:hAnsiTheme="minorEastAsia" w:eastAsiaTheme="minorEastAsia" w:cstheme="minorEastAsia"/>
          <w:b/>
          <w:szCs w:val="21"/>
        </w:rPr>
        <w:t>0%。</w:t>
      </w:r>
    </w:p>
    <w:bookmarkEnd w:id="10"/>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责任免除</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第七条 因下列情形之一造成被保险人医疗费用支出的，保险人不承担给付保险金的责任：</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（一）既往症（见释义13），或被保险人在投保前或在等待期内罹患的疾病；</w:t>
      </w:r>
    </w:p>
    <w:p>
      <w:p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（二）遗传性疾病（见释义14），先天性畸形、变形或染色体异常（见释义15）（以世界卫生组织颁布的《疾病和有关健康问题的国际统计分类（ICD－10）》为准,但涉及重大疾病病种释义中约定的情况除外）；</w:t>
      </w:r>
    </w:p>
    <w:p>
      <w:p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（三）被保险人接受未经科学或者医学认可的实验性或研究性治疗或替代疗法及其产生的后果所产生的费用；</w:t>
      </w:r>
    </w:p>
    <w:p>
      <w:p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（四）</w:t>
      </w:r>
      <w:r>
        <w:rPr>
          <w:rFonts w:hint="eastAsia" w:cs="宋体" w:asciiTheme="minorEastAsia" w:hAnsiTheme="minorEastAsia" w:eastAsiaTheme="minorEastAsia"/>
          <w:b/>
          <w:bCs/>
          <w:szCs w:val="21"/>
          <w:lang w:val="en"/>
        </w:rPr>
        <w:t>有临床不适症状，入院诊断和出院诊断均不是明确疾病（以世界卫生组织颁布的《疾病和有关健康问题的国际统计分类（</w:t>
      </w:r>
      <w:r>
        <w:rPr>
          <w:rFonts w:cs="宋体" w:asciiTheme="minorEastAsia" w:hAnsiTheme="minorEastAsia" w:eastAsiaTheme="minorEastAsia"/>
          <w:b/>
          <w:bCs/>
          <w:szCs w:val="21"/>
          <w:lang w:val="en"/>
        </w:rPr>
        <w:t>ICD-10）》为准）</w:t>
      </w:r>
      <w:r>
        <w:rPr>
          <w:rFonts w:hint="eastAsia" w:cs="宋体" w:asciiTheme="minorEastAsia" w:hAnsiTheme="minorEastAsia" w:eastAsiaTheme="minorEastAsia"/>
          <w:b/>
          <w:bCs/>
          <w:szCs w:val="21"/>
          <w:lang w:val="en"/>
        </w:rPr>
        <w:t>引起的治疗费用；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（五）疗养、视力矫正手术、各种健康体检项目及预防性医疗项目、牙科保健及牙科治疗、康复治疗、非意外事故所致整容手术；</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w:t>
      </w:r>
      <w:r>
        <w:rPr>
          <w:rFonts w:hint="eastAsia" w:asciiTheme="minorEastAsia" w:hAnsiTheme="minorEastAsia" w:eastAsiaTheme="minorEastAsia" w:cstheme="minorEastAsia"/>
          <w:b/>
          <w:bCs/>
          <w:szCs w:val="21"/>
        </w:rPr>
        <w:t>六</w:t>
      </w:r>
      <w:r>
        <w:rPr>
          <w:rFonts w:hint="eastAsia" w:asciiTheme="minorEastAsia" w:hAnsiTheme="minorEastAsia" w:eastAsiaTheme="minorEastAsia" w:cstheme="minorEastAsia"/>
          <w:b/>
          <w:szCs w:val="21"/>
        </w:rPr>
        <w:t>）皮肤色素沉着、痤疮治疗、红斑痤疮治疗；雀斑、老年斑、痣的治疗和去除；对浅表静脉曲张、蜘蛛脉、除瘢痕疙瘩型外的其它瘢痕、纹身去除、皮肤变色的治疗或手术；激光美容、除皱、除眼袋、开双眼皮、治疗斑秃、白发、秃发、脱发、植毛、脱毛、隆鼻、隆胸；</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（七）各种矫形及生理缺陷的手术和检查治疗项目，包括但不限于平足及各种非功能性整容、矫形手术费用；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（八）各种健美治疗项目，包括但不限于营养、减肥、增胖、增高费用；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（九）不孕不育治疗、人工受精、怀孕、分娩（含难产）、流产、堕胎、节育（含绝育）、产前产后检查以及由以上原因引起的并发症；</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（十）包皮环切术、包皮剥离术、包皮气囊扩张术、性功能障碍治疗；</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（十一）除心脏瓣膜、人工晶体、人工关节之外的其他人工器官材料费、安装和置换等费用、各种康复治疗器械、假体、义肢、自用的按摩保健和治疗用品、所有非处方医疗器械；</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（十二）耐用医疗设备（指各种康复设备、矫形支具以及其他耐用医疗设备）的购买或租赁费用；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（十三）未经医生处方自行购买的药品或在非合同约定的医院或指定医疗机构药房或指定药房购买的药品、滋补类中草药及其泡制的各类酒制剂、医生开具的超过30天部分的药品费用；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四）各种医疗咨询和健康预测，如健康咨询、睡眠咨询、性咨询、心理咨询（依照世界卫生组织《疾病和有关健康问题的国际统计分类》（ICD-10）确定的精神和行为障碍以外的一般心理问题，如职场问题、家庭问题、婚恋问题、个人发展、情绪管理等）等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（十五）</w:t>
      </w:r>
      <w:r>
        <w:rPr>
          <w:rFonts w:hint="eastAsia" w:asciiTheme="minorEastAsia" w:hAnsiTheme="minorEastAsia" w:eastAsiaTheme="minorEastAsia" w:cstheme="minorEastAsia"/>
          <w:b/>
          <w:color w:val="000000"/>
          <w:kern w:val="0"/>
          <w:szCs w:val="21"/>
          <w:lang w:bidi="ar"/>
        </w:rPr>
        <w:t>投保人对被保险人的故意杀害、故意伤害</w:t>
      </w:r>
      <w:r>
        <w:rPr>
          <w:rFonts w:hint="eastAsia" w:asciiTheme="minorEastAsia" w:hAnsiTheme="minorEastAsia" w:eastAsiaTheme="minorEastAsia" w:cstheme="minorEastAsia"/>
          <w:b/>
          <w:szCs w:val="21"/>
        </w:rPr>
        <w:t>；</w:t>
      </w:r>
    </w:p>
    <w:p>
      <w:pPr>
        <w:adjustRightInd w:val="0"/>
        <w:snapToGrid w:val="0"/>
        <w:spacing w:line="360" w:lineRule="auto"/>
        <w:ind w:firstLine="422" w:firstLineChars="200"/>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szCs w:val="21"/>
        </w:rPr>
        <w:t>（十六）</w:t>
      </w:r>
      <w:r>
        <w:rPr>
          <w:rFonts w:hint="eastAsia" w:ascii="宋体" w:hAnsi="宋体" w:cs="宋体"/>
          <w:b/>
          <w:szCs w:val="21"/>
        </w:rPr>
        <w:t>被保险人故意自伤、故意犯罪或抗拒依法采取的刑事强制措施。</w:t>
      </w:r>
      <w:r>
        <w:rPr>
          <w:rFonts w:asciiTheme="minorEastAsia" w:hAnsiTheme="minorEastAsia" w:eastAsiaTheme="minorEastAsia" w:cstheme="minorEastAsia"/>
          <w:b/>
          <w:color w:val="000000"/>
          <w:kern w:val="0"/>
          <w:szCs w:val="21"/>
          <w:lang w:bidi="ar"/>
        </w:rPr>
        <w:t xml:space="preserve"> </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（十七）被保险人故意自伤自杀，但被保险人自杀时为无民事行为能力人的除外；</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（十八）被保险人殴斗、醉酒（见释义16），</w:t>
      </w:r>
      <w:r>
        <w:rPr>
          <w:rFonts w:hint="eastAsia" w:asciiTheme="minorEastAsia" w:hAnsiTheme="minorEastAsia" w:eastAsiaTheme="minorEastAsia" w:cstheme="minorEastAsia"/>
          <w:b/>
          <w:color w:val="000000"/>
          <w:kern w:val="0"/>
          <w:szCs w:val="21"/>
          <w:lang w:bidi="ar"/>
        </w:rPr>
        <w:t>服用、吸食或注射毒品</w:t>
      </w:r>
      <w:r>
        <w:rPr>
          <w:rFonts w:hint="eastAsia" w:asciiTheme="minorEastAsia" w:hAnsiTheme="minorEastAsia" w:eastAsiaTheme="minorEastAsia" w:cstheme="minorEastAsia"/>
          <w:b/>
          <w:szCs w:val="21"/>
        </w:rPr>
        <w:t>（见释义17）；</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（十九）被保险人酒后驾驶（见释义18）、无合法有效驾驶证（见释义19）驾驶或驾驶无合法有效行驶证（见释义20）的机动车（见释义21）导致交通意外引起的医疗费用；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（二十）从事潜水、跳伞、攀岩、蹦极、驾驶滑翔机或滑翔伞、探险、武术比赛、摔跤比赛、特技表演、赛马、赛车等高风险运动（见释义22）导致的伤害引起的治疗；</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（二十一）由于职业病（见释义23）、医疗事故（见释义24）引起的医疗费用；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（二十二）核爆炸、核辐射或核污染、化学污染；恐怖袭击、战争、军事冲突、暴乱或武装叛乱；</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（二十三）不符合入院标准、挂床住院或住院病人应当出院而拒不出院（从合同约定的医院或指定医疗机构确定出院之日起发生的一切医疗费用）；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（二十四）被保险人接受实验性治疗，即未经科学或医学认可的医疗；</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（二十五）未被治疗所在地权威部门批准的治疗，未获得治疗所在地政府许可或批准的药品或药物；</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（二十六）各类医疗鉴定，包括但不限于医疗事故鉴定、精神病鉴定、孕妇胎儿性别鉴定、验伤鉴定、亲子鉴定、遗传基因鉴定费用；</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（二十七）被保险人存在精神和行为障碍（以世界卫生组织颁布的《疾病和有关健康问题的国际统计分类（ICD-10）》为准）；</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（二十八）被保险人非因职业原因或器官移植原因</w:t>
      </w:r>
      <w:r>
        <w:rPr>
          <w:rFonts w:hint="eastAsia" w:asciiTheme="minorEastAsia" w:hAnsiTheme="minorEastAsia" w:eastAsiaTheme="minorEastAsia" w:cstheme="minorEastAsia"/>
          <w:b/>
          <w:bCs/>
          <w:szCs w:val="21"/>
        </w:rPr>
        <w:t>感</w:t>
      </w:r>
      <w:r>
        <w:rPr>
          <w:rFonts w:hint="eastAsia" w:asciiTheme="minorEastAsia" w:hAnsiTheme="minorEastAsia" w:eastAsiaTheme="minorEastAsia" w:cstheme="minorEastAsia"/>
          <w:b/>
          <w:szCs w:val="21"/>
        </w:rPr>
        <w:t>染艾滋病病毒或患艾滋病（见释义25）引起的治疗（但涉及重大疾病病种释义2中第八十八条、第八十九条、第九十条约定的情况除外）；</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（二十九）被保险人患性病引起的医疗费用。</w:t>
      </w:r>
    </w:p>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保险金额</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第八条 保险金额是保险人承担赔偿或者给付保险金责任的最高限额。年度累计保险金额是保险人在保单年度内承担赔偿或者给付保险金责任的累计最高限额。</w:t>
      </w:r>
    </w:p>
    <w:p>
      <w:pPr>
        <w:pStyle w:val="15"/>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本保险合同的保险金额包括一般医疗保险金额、重大疾病医疗保险金额。</w:t>
      </w:r>
      <w:r>
        <w:rPr>
          <w:rFonts w:hint="eastAsia" w:asciiTheme="minorEastAsia" w:hAnsiTheme="minorEastAsia" w:eastAsiaTheme="minorEastAsia" w:cstheme="minorEastAsia"/>
          <w:b/>
          <w:bCs/>
          <w:szCs w:val="21"/>
        </w:rPr>
        <w:t>以上每项责任的保险金额和年度累计保险金额由投保人与保险人约定，并在保险合同中载明。</w:t>
      </w:r>
    </w:p>
    <w:p>
      <w:pPr>
        <w:pStyle w:val="16"/>
        <w:spacing w:line="360" w:lineRule="auto"/>
        <w:ind w:left="0" w:leftChars="0"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保险期间</w:t>
      </w:r>
    </w:p>
    <w:p>
      <w:pPr>
        <w:widowControl/>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第九条</w:t>
      </w:r>
      <w:r>
        <w:rPr>
          <w:rFonts w:hint="eastAsia" w:asciiTheme="minorEastAsia" w:hAnsiTheme="minorEastAsia" w:eastAsiaTheme="minorEastAsia" w:cstheme="minorEastAsia"/>
          <w:szCs w:val="21"/>
        </w:rPr>
        <w:t xml:space="preserve"> 本保险合同保险期间由保险人和投保人协商确定，以保险单载明的起讫时间为准，但最长不超过一年。</w:t>
      </w:r>
    </w:p>
    <w:p>
      <w:pPr>
        <w:pStyle w:val="16"/>
        <w:spacing w:line="360" w:lineRule="auto"/>
        <w:ind w:left="0" w:leftChars="0"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不保证续保</w:t>
      </w:r>
    </w:p>
    <w:p>
      <w:pPr>
        <w:widowControl/>
        <w:adjustRightInd w:val="0"/>
        <w:snapToGrid w:val="0"/>
        <w:spacing w:line="360" w:lineRule="auto"/>
        <w:ind w:firstLine="422" w:firstLineChars="200"/>
        <w:rPr>
          <w:rFonts w:ascii="宋体" w:hAnsi="宋体" w:cs="宋体"/>
          <w:szCs w:val="21"/>
        </w:rPr>
      </w:pPr>
      <w:r>
        <w:rPr>
          <w:rFonts w:hint="eastAsia" w:ascii="宋体" w:hAnsi="宋体" w:cs="宋体"/>
          <w:b/>
          <w:bCs/>
          <w:szCs w:val="21"/>
        </w:rPr>
        <w:t>第十条 本保险合同为不保证续保合同。</w:t>
      </w:r>
      <w:r>
        <w:rPr>
          <w:rFonts w:hint="eastAsia" w:ascii="宋体" w:hAnsi="宋体" w:cstheme="minorEastAsia"/>
          <w:szCs w:val="21"/>
        </w:rPr>
        <w:t>本保险合同保险期间不超过一年。保险期间届满，投保人需要重新向保险公司申请投保本保险合同，并经保险人同意，交纳保险费，获得新的保险合同。</w:t>
      </w:r>
      <w:r>
        <w:rPr>
          <w:rFonts w:hint="eastAsia" w:ascii="宋体" w:hAnsi="宋体" w:cs="宋体"/>
          <w:szCs w:val="21"/>
        </w:rPr>
        <w:t xml:space="preserve"> </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若发生下列情形之一的，本保险合同不再接受重新投保：</w:t>
      </w:r>
    </w:p>
    <w:p>
      <w:pPr>
        <w:numPr>
          <w:ilvl w:val="255"/>
          <w:numId w:val="0"/>
        </w:numPr>
        <w:adjustRightInd w:val="0"/>
        <w:snapToGrid w:val="0"/>
        <w:spacing w:line="360" w:lineRule="auto"/>
        <w:ind w:firstLine="420"/>
        <w:rPr>
          <w:rFonts w:ascii="宋体" w:hAnsi="宋体" w:cs="宋体"/>
          <w:b/>
          <w:bCs/>
          <w:szCs w:val="21"/>
        </w:rPr>
      </w:pPr>
      <w:r>
        <w:rPr>
          <w:rFonts w:hint="eastAsia" w:ascii="宋体" w:hAnsi="宋体" w:cs="宋体"/>
          <w:b/>
          <w:bCs/>
          <w:szCs w:val="21"/>
        </w:rPr>
        <w:t>（一）本保险合同统一停售；</w:t>
      </w:r>
    </w:p>
    <w:p>
      <w:pPr>
        <w:numPr>
          <w:ilvl w:val="255"/>
          <w:numId w:val="0"/>
        </w:numPr>
        <w:adjustRightInd w:val="0"/>
        <w:snapToGrid w:val="0"/>
        <w:spacing w:line="360" w:lineRule="auto"/>
        <w:ind w:firstLine="420"/>
        <w:rPr>
          <w:rFonts w:ascii="宋体" w:hAnsi="宋体" w:cs="宋体"/>
          <w:b/>
          <w:bCs/>
          <w:szCs w:val="21"/>
        </w:rPr>
      </w:pPr>
      <w:r>
        <w:rPr>
          <w:rFonts w:hint="eastAsia" w:ascii="宋体" w:hAnsi="宋体" w:cs="宋体"/>
          <w:b/>
          <w:bCs/>
          <w:szCs w:val="21"/>
        </w:rPr>
        <w:t>（二）被保险人身故；</w:t>
      </w:r>
    </w:p>
    <w:p>
      <w:pPr>
        <w:numPr>
          <w:ilvl w:val="255"/>
          <w:numId w:val="0"/>
        </w:numPr>
        <w:adjustRightInd w:val="0"/>
        <w:snapToGrid w:val="0"/>
        <w:spacing w:line="360" w:lineRule="auto"/>
        <w:ind w:firstLine="420"/>
        <w:rPr>
          <w:rFonts w:ascii="宋体" w:hAnsi="宋体" w:cs="宋体"/>
          <w:b/>
          <w:bCs/>
          <w:szCs w:val="21"/>
        </w:rPr>
      </w:pPr>
      <w:r>
        <w:rPr>
          <w:rFonts w:hint="eastAsia" w:ascii="宋体" w:hAnsi="宋体" w:cs="宋体"/>
          <w:b/>
          <w:bCs/>
          <w:szCs w:val="21"/>
        </w:rPr>
        <w:t>（三）投保人未如实告知，被保险人不符合投保条件或存在欺诈情形的；</w:t>
      </w:r>
    </w:p>
    <w:p>
      <w:pPr>
        <w:numPr>
          <w:ilvl w:val="255"/>
          <w:numId w:val="0"/>
        </w:numPr>
        <w:adjustRightInd w:val="0"/>
        <w:snapToGrid w:val="0"/>
        <w:spacing w:line="360" w:lineRule="auto"/>
        <w:ind w:firstLine="420"/>
        <w:rPr>
          <w:rFonts w:ascii="宋体" w:hAnsi="宋体" w:cs="宋体"/>
          <w:b/>
          <w:bCs/>
          <w:szCs w:val="21"/>
        </w:rPr>
      </w:pPr>
      <w:r>
        <w:rPr>
          <w:rFonts w:hint="eastAsia" w:ascii="宋体" w:hAnsi="宋体" w:cs="宋体"/>
          <w:b/>
          <w:bCs/>
          <w:szCs w:val="21"/>
        </w:rPr>
        <w:t>（四）本保险合同因其他条款所列情况而导致效力终止。</w:t>
      </w:r>
      <w:bookmarkStart w:id="11" w:name="_Hlk27830298"/>
    </w:p>
    <w:p>
      <w:pPr>
        <w:pStyle w:val="16"/>
        <w:spacing w:line="360" w:lineRule="auto"/>
        <w:ind w:left="0" w:leftChars="0" w:firstLine="0" w:firstLineChars="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保险人义务</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 xml:space="preserve">第十一条 </w:t>
      </w:r>
      <w:r>
        <w:rPr>
          <w:rFonts w:hint="eastAsia" w:asciiTheme="minorEastAsia" w:hAnsiTheme="minorEastAsia" w:eastAsiaTheme="minorEastAsia" w:cstheme="minorEastAsia"/>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第十二条 </w:t>
      </w:r>
      <w:r>
        <w:rPr>
          <w:rFonts w:hint="eastAsia" w:asciiTheme="minorEastAsia" w:hAnsiTheme="minorEastAsia" w:eastAsiaTheme="minorEastAsia" w:cstheme="minorEastAsia"/>
          <w:szCs w:val="21"/>
        </w:rPr>
        <w:t>本保险合同成立后，保险人应当及时向投保人签发保险单或其他保险凭证。</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第十三条 </w:t>
      </w:r>
      <w:r>
        <w:rPr>
          <w:rFonts w:hint="eastAsia" w:asciiTheme="minorEastAsia" w:hAnsiTheme="minorEastAsia" w:eastAsiaTheme="minorEastAsia" w:cstheme="minorEastAsia"/>
          <w:szCs w:val="21"/>
        </w:rPr>
        <w:t>保险人依据第十八条、第十九条所取得的保险合同解除权，自保险人知道有解除事由之日起，超过三十日不行使而消灭。</w:t>
      </w:r>
    </w:p>
    <w:p>
      <w:pPr>
        <w:adjustRightInd w:val="0"/>
        <w:snapToGrid w:val="0"/>
        <w:spacing w:line="360" w:lineRule="auto"/>
        <w:ind w:firstLine="420" w:firstLineChars="200"/>
        <w:rPr>
          <w:rStyle w:val="18"/>
          <w:rFonts w:asciiTheme="minorEastAsia" w:hAnsiTheme="minorEastAsia" w:eastAsiaTheme="minorEastAsia" w:cstheme="minorEastAsia"/>
          <w:szCs w:val="21"/>
        </w:rPr>
      </w:pPr>
      <w:r>
        <w:rPr>
          <w:rStyle w:val="18"/>
          <w:rFonts w:hint="eastAsia" w:asciiTheme="minorEastAsia" w:hAnsiTheme="minorEastAsia" w:eastAsiaTheme="minorEastAsia" w:cstheme="minorEastAsia"/>
          <w:szCs w:val="21"/>
        </w:rPr>
        <w:t>保险人在合同订立时已经知道投保人未如实告知的情况的，保险人不得解除合同；发生保险事故的，保险人应当承担给付保险金责任。</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第十四条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szCs w:val="21"/>
        </w:rPr>
        <w:t>保险人按照第二十三条的约定，认为投保人、被保险人或者受益人提供的有关索赔的证明和资料不完整的，应当及时一次性通知投保人、被保险人或者受益人补充提供。</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第十五条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保险合同另有约定的除外。</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8"/>
          <w:rFonts w:hint="eastAsia" w:asciiTheme="minorEastAsia" w:hAnsiTheme="minorEastAsia" w:eastAsiaTheme="minorEastAsia" w:cstheme="minorEastAsia"/>
          <w:szCs w:val="21"/>
        </w:rPr>
        <w:t>对不属于保险责任的，应当自作出核定之日起三日内向被保险人</w:t>
      </w:r>
      <w:r>
        <w:rPr>
          <w:rFonts w:hint="eastAsia" w:asciiTheme="minorEastAsia" w:hAnsiTheme="minorEastAsia" w:eastAsiaTheme="minorEastAsia" w:cstheme="minorEastAsia"/>
          <w:szCs w:val="21"/>
        </w:rPr>
        <w:t>或者受益人</w:t>
      </w:r>
      <w:r>
        <w:rPr>
          <w:rStyle w:val="18"/>
          <w:rFonts w:hint="eastAsia" w:asciiTheme="minorEastAsia" w:hAnsiTheme="minorEastAsia" w:eastAsiaTheme="minorEastAsia" w:cstheme="minorEastAsia"/>
          <w:szCs w:val="21"/>
        </w:rPr>
        <w:t>发出拒绝给付保险金通知书，并说明理由</w:t>
      </w:r>
      <w:r>
        <w:rPr>
          <w:rFonts w:hint="eastAsia" w:asciiTheme="minorEastAsia" w:hAnsiTheme="minorEastAsia" w:eastAsiaTheme="minorEastAsia" w:cstheme="minorEastAsia"/>
          <w:szCs w:val="21"/>
        </w:rPr>
        <w:t>。</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第十六条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bookmarkEnd w:id="11"/>
    <w:p>
      <w:pPr>
        <w:pStyle w:val="15"/>
        <w:spacing w:line="360" w:lineRule="auto"/>
        <w:ind w:left="0" w:leftChars="0" w:firstLine="0" w:firstLineChars="0"/>
        <w:jc w:val="center"/>
        <w:rPr>
          <w:rFonts w:asciiTheme="minorEastAsia" w:hAnsiTheme="minorEastAsia" w:eastAsiaTheme="minorEastAsia" w:cstheme="minorEastAsia"/>
          <w:b/>
          <w:szCs w:val="21"/>
        </w:rPr>
      </w:pPr>
      <w:bookmarkStart w:id="12" w:name="_Hlk27831284"/>
      <w:r>
        <w:rPr>
          <w:rFonts w:hint="eastAsia" w:asciiTheme="minorEastAsia" w:hAnsiTheme="minorEastAsia" w:eastAsiaTheme="minorEastAsia" w:cstheme="minorEastAsia"/>
          <w:b/>
          <w:szCs w:val="21"/>
        </w:rPr>
        <w:t>投保人、被保险人义务</w:t>
      </w:r>
    </w:p>
    <w:bookmarkEnd w:id="12"/>
    <w:p>
      <w:pPr>
        <w:numPr>
          <w:ilvl w:val="255"/>
          <w:numId w:val="0"/>
        </w:numPr>
        <w:adjustRightInd w:val="0"/>
        <w:snapToGrid w:val="0"/>
        <w:spacing w:after="0" w:line="360" w:lineRule="auto"/>
        <w:ind w:firstLine="422" w:firstLineChars="200"/>
        <w:rPr>
          <w:rFonts w:asciiTheme="minorEastAsia" w:hAnsiTheme="minorEastAsia" w:eastAsiaTheme="minorEastAsia" w:cstheme="minorEastAsia"/>
          <w:szCs w:val="21"/>
        </w:rPr>
      </w:pPr>
      <w:bookmarkStart w:id="13" w:name="_Hlk27831231"/>
      <w:r>
        <w:rPr>
          <w:rFonts w:hint="eastAsia" w:asciiTheme="minorEastAsia" w:hAnsiTheme="minorEastAsia" w:eastAsiaTheme="minorEastAsia" w:cstheme="minorEastAsia"/>
          <w:b/>
          <w:bCs/>
          <w:szCs w:val="21"/>
        </w:rPr>
        <w:t xml:space="preserve">第十七条 </w:t>
      </w:r>
      <w:r>
        <w:rPr>
          <w:rFonts w:hint="eastAsia" w:asciiTheme="minorEastAsia" w:hAnsiTheme="minorEastAsia" w:eastAsiaTheme="minorEastAsia" w:cstheme="minorEastAsia"/>
          <w:szCs w:val="21"/>
        </w:rPr>
        <w:t>本保险合同保险费缴付方式由投保人和保险人在投保时约定，并在保险单上载明。</w:t>
      </w:r>
    </w:p>
    <w:p>
      <w:pPr>
        <w:spacing w:after="156" w:afterLines="50" w:line="360" w:lineRule="auto"/>
        <w:ind w:firstLine="420" w:firstLineChars="200"/>
        <w:rPr>
          <w:rFonts w:ascii="宋体" w:hAnsi="宋体" w:cs="宋体"/>
          <w:b/>
          <w:bCs/>
          <w:szCs w:val="21"/>
        </w:rPr>
      </w:pPr>
      <w:r>
        <w:rPr>
          <w:rFonts w:hint="eastAsia" w:ascii="宋体" w:hAnsi="宋体" w:cs="宋体"/>
          <w:szCs w:val="21"/>
        </w:rPr>
        <w:t>若投保人选择一次性缴付保险费，投保人应当在本保险合同成立时一次性缴清保险费。</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投保人未按约定缴纳全部保险费，本保险合同不生效。对本保险合同生效前发生的保险事故，保险人不承担保险责任。</w:t>
      </w:r>
    </w:p>
    <w:p>
      <w:pPr>
        <w:spacing w:after="156" w:afterLines="50" w:line="360" w:lineRule="auto"/>
        <w:ind w:firstLine="420" w:firstLineChars="200"/>
        <w:rPr>
          <w:rFonts w:ascii="宋体" w:hAnsi="宋体" w:cs="宋体"/>
          <w:bCs/>
          <w:szCs w:val="21"/>
        </w:rPr>
      </w:pPr>
      <w:r>
        <w:rPr>
          <w:rFonts w:hint="eastAsia" w:ascii="宋体" w:hAnsi="宋体" w:cs="宋体"/>
          <w:bCs/>
          <w:szCs w:val="21"/>
        </w:rPr>
        <w:t>若投保人选择分期缴付保险费，需经投保人申请并经保险人同意，并在本保险合同中载明保险分期缴付的周期。</w:t>
      </w:r>
    </w:p>
    <w:p>
      <w:pPr>
        <w:spacing w:after="156" w:afterLines="50" w:line="360" w:lineRule="auto"/>
        <w:ind w:firstLine="422" w:firstLineChars="200"/>
        <w:rPr>
          <w:rFonts w:ascii="宋体" w:hAnsi="宋体" w:cs="宋体"/>
          <w:b/>
          <w:bCs/>
          <w:szCs w:val="21"/>
        </w:rPr>
      </w:pPr>
      <w:r>
        <w:rPr>
          <w:rFonts w:hint="eastAsia" w:ascii="宋体" w:hAnsi="宋体" w:cs="宋体"/>
          <w:b/>
          <w:bCs/>
          <w:szCs w:val="21"/>
        </w:rPr>
        <w:t>如投保人未缴付首期保费，本保险合同不生效，对本保险合同生效前发生的保险事故，保险人不承担保险责任。</w:t>
      </w:r>
    </w:p>
    <w:p>
      <w:pPr>
        <w:spacing w:line="360" w:lineRule="auto"/>
        <w:ind w:firstLine="422" w:firstLineChars="200"/>
        <w:rPr>
          <w:rFonts w:ascii="宋体" w:hAnsi="宋体" w:cs="宋体"/>
          <w:b/>
          <w:bCs/>
          <w:szCs w:val="21"/>
        </w:rPr>
      </w:pPr>
      <w:r>
        <w:rPr>
          <w:rFonts w:hint="eastAsia" w:ascii="宋体" w:hAnsi="宋体" w:cs="宋体"/>
          <w:b/>
          <w:bCs/>
          <w:szCs w:val="21"/>
        </w:rPr>
        <w:t>在缴付首期保险费后，投保人应当在每个保险费约定支付日缴付其余各期对应</w:t>
      </w:r>
      <w:r>
        <w:rPr>
          <w:rFonts w:hint="eastAsia" w:asciiTheme="minorEastAsia" w:hAnsiTheme="minorEastAsia" w:cstheme="minorEastAsia"/>
          <w:b/>
          <w:bCs/>
          <w:szCs w:val="21"/>
        </w:rPr>
        <w:t>的保费。</w:t>
      </w:r>
      <w:r>
        <w:rPr>
          <w:rFonts w:hint="eastAsia" w:ascii="宋体" w:hAnsi="宋体" w:cs="宋体"/>
          <w:b/>
          <w:bCs/>
          <w:szCs w:val="21"/>
        </w:rPr>
        <w:t>若投保人未按照</w:t>
      </w:r>
      <w:r>
        <w:rPr>
          <w:rFonts w:ascii="宋体" w:hAnsi="宋体" w:cs="宋体"/>
          <w:b/>
          <w:bCs/>
          <w:szCs w:val="21"/>
        </w:rPr>
        <w:t>本保险</w:t>
      </w:r>
      <w:r>
        <w:rPr>
          <w:rFonts w:hint="eastAsia" w:ascii="宋体" w:hAnsi="宋体" w:cs="宋体"/>
          <w:b/>
          <w:bCs/>
          <w:szCs w:val="21"/>
        </w:rPr>
        <w:t>合同约定的付款时间足额缴付当期保险费，保险人允许投保人在合同约定的宽限期内补缴对应期次的保险费。如果被保险人在宽限期内发生保险事故，保险人仍按照合同约定赔偿保险金。除本保险合同另有约定外，如被保险人在正常缴费对应的保险期间内或宽限期内发生保险事故，保险人依照本保险合同约定赔付保险金的，需扣减保险期间所有未缴期间的保险费，投保人已缴纳的保险费与保险人扣减的保险费之和应等于本保险合同约定的保险费总额。</w:t>
      </w:r>
    </w:p>
    <w:p>
      <w:pPr>
        <w:numPr>
          <w:ilvl w:val="255"/>
          <w:numId w:val="0"/>
        </w:num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若投保人未按照</w:t>
      </w:r>
      <w:r>
        <w:rPr>
          <w:rFonts w:ascii="宋体" w:hAnsi="宋体" w:cs="宋体"/>
          <w:b/>
          <w:bCs/>
          <w:szCs w:val="21"/>
        </w:rPr>
        <w:t>本保险</w:t>
      </w:r>
      <w:r>
        <w:rPr>
          <w:rFonts w:hint="eastAsia" w:ascii="宋体" w:hAnsi="宋体" w:cs="宋体"/>
          <w:b/>
          <w:bCs/>
          <w:szCs w:val="21"/>
        </w:rPr>
        <w:t>合同约定的付款时间足额缴付当期保险费，且在本保险合同约定的宽限期内仍未足额补缴当期保险费的，</w:t>
      </w:r>
      <w:r>
        <w:rPr>
          <w:rFonts w:hint="eastAsia"/>
          <w:b/>
          <w:bCs/>
        </w:rPr>
        <w:t>本保险合同效力中止，</w:t>
      </w:r>
      <w:r>
        <w:rPr>
          <w:rFonts w:hint="eastAsia"/>
          <w:b/>
        </w:rPr>
        <w:t>保险人对合同效力中止后发生的保险事故不承担给付保险金责任</w:t>
      </w:r>
      <w:r>
        <w:rPr>
          <w:rFonts w:hint="eastAsia"/>
        </w:rPr>
        <w:t>。</w:t>
      </w:r>
      <w:r>
        <w:rPr>
          <w:rFonts w:hint="eastAsia" w:ascii="宋体" w:hAnsi="宋体" w:cs="宋体"/>
          <w:b/>
          <w:bCs/>
          <w:szCs w:val="21"/>
        </w:rPr>
        <w:t xml:space="preserve"> </w:t>
      </w:r>
    </w:p>
    <w:p>
      <w:pPr>
        <w:pStyle w:val="19"/>
        <w:autoSpaceDE w:val="0"/>
        <w:autoSpaceDN w:val="0"/>
        <w:adjustRightInd w:val="0"/>
        <w:spacing w:line="360" w:lineRule="auto"/>
        <w:ind w:firstLine="386" w:firstLineChars="184"/>
        <w:jc w:val="left"/>
        <w:rPr>
          <w:rFonts w:asciiTheme="minorEastAsia" w:hAnsiTheme="minorEastAsia" w:eastAsiaTheme="minorEastAsia" w:cstheme="minorEastAsia"/>
          <w:b/>
          <w:kern w:val="0"/>
          <w:szCs w:val="21"/>
        </w:rPr>
      </w:pPr>
      <w:r>
        <w:rPr>
          <w:rFonts w:hint="eastAsia" w:ascii="宋体" w:hAnsi="宋体" w:cs="宋体"/>
          <w:kern w:val="0"/>
          <w:szCs w:val="21"/>
        </w:rPr>
        <w:t>宽限期由投保人与保险人约定，并在本保险合同中载明。</w:t>
      </w:r>
    </w:p>
    <w:p>
      <w:pPr>
        <w:pStyle w:val="19"/>
        <w:autoSpaceDE w:val="0"/>
        <w:autoSpaceDN w:val="0"/>
        <w:adjustRightInd w:val="0"/>
        <w:spacing w:line="360" w:lineRule="auto"/>
        <w:ind w:firstLine="388" w:firstLineChars="184"/>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 xml:space="preserve">第十八条 </w:t>
      </w:r>
      <w:r>
        <w:rPr>
          <w:rFonts w:hint="eastAsia" w:asciiTheme="minorEastAsia" w:hAnsiTheme="minorEastAsia" w:eastAsiaTheme="minorEastAsia" w:cstheme="minorEastAsia"/>
          <w:b/>
          <w:szCs w:val="21"/>
        </w:rPr>
        <w:t>订立保险合同，保险人就被保险人的有关情况提出询问的，投保人应当如实告知。</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投保人故意或者因重大过失未履行前款规定的义务，足以影响保险人决定是否同意承保或者提高保险费率的，保险人有权解除本保险合同。</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投保人故意不履行如实告知义务的，保险人对于合同解除前发生的保险事故，不承担给付保险金责任，并不退还保险费。</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投保人因重大过失未履行如实告知义务，对保险事故的发生有严重影响的，保险人对于合同解除前发生的保险事故，不承担给付保险金责任，但应当退还保险费。</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第十九条 </w:t>
      </w:r>
      <w:r>
        <w:rPr>
          <w:rFonts w:hint="eastAsia" w:asciiTheme="minorEastAsia" w:hAnsiTheme="minorEastAsia" w:eastAsiaTheme="minorEastAsia" w:cstheme="minorEastAsia"/>
          <w:szCs w:val="21"/>
        </w:rPr>
        <w:t>投保人申请投保时，应按被保险人的周岁年龄和性别填写，如果发生错误按照下列方式办理：</w:t>
      </w:r>
    </w:p>
    <w:p>
      <w:pPr>
        <w:pStyle w:val="15"/>
        <w:spacing w:line="360" w:lineRule="auto"/>
        <w:ind w:left="0" w:leftChars="0"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（一）投保人申报的被保险人年龄不真实，并且其真实年龄不符合本保险合同约定投保年龄限制的，保险人有权解除本保险合同，并向投保人退还未满期保险费（见释义2</w:t>
      </w:r>
      <w:r>
        <w:rPr>
          <w:rFonts w:asciiTheme="minorEastAsia" w:hAnsiTheme="minorEastAsia" w:eastAsiaTheme="minorEastAsia" w:cstheme="minorEastAsia"/>
          <w:b/>
          <w:bCs/>
          <w:szCs w:val="21"/>
        </w:rPr>
        <w:t>6</w:t>
      </w:r>
      <w:r>
        <w:rPr>
          <w:rFonts w:hint="eastAsia" w:asciiTheme="minorEastAsia" w:hAnsiTheme="minorEastAsia" w:eastAsiaTheme="minorEastAsia" w:cstheme="minorEastAsia"/>
          <w:b/>
          <w:bCs/>
          <w:szCs w:val="21"/>
        </w:rPr>
        <w:t>）。对于本保险合同解除前发生的保险事故，保险人不承担给付保险金的责任。</w:t>
      </w:r>
    </w:p>
    <w:p>
      <w:pPr>
        <w:pStyle w:val="15"/>
        <w:spacing w:line="360" w:lineRule="auto"/>
        <w:ind w:left="0" w:leftChars="0"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二）投保人申报的被保险人年龄或者性别不真实，致使投保人实交保险费少于应交保险费的，保险人有权更正并要求投保人补交保险费。如果已经发生保险事故，在给付保险金时按实际缴纳保险费和应交保险费的比例给付。</w:t>
      </w:r>
    </w:p>
    <w:p>
      <w:pPr>
        <w:pStyle w:val="15"/>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（三）投保人申报的被保险人年龄或者性别不真实，致使投保人实交保险费多于应交保险费的，保险人会将多收的保险费退还给投保人。</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第二十条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szCs w:val="21"/>
        </w:rPr>
        <w:t>投保人住所或通讯地址变更时，应及时以书面形式通知保险人。</w:t>
      </w:r>
      <w:r>
        <w:rPr>
          <w:rFonts w:hint="eastAsia" w:asciiTheme="minorEastAsia" w:hAnsiTheme="minorEastAsia" w:eastAsiaTheme="minorEastAsia" w:cstheme="minorEastAsia"/>
          <w:b/>
          <w:bCs/>
          <w:szCs w:val="21"/>
        </w:rPr>
        <w:t>投保人未通知的，保险人按本保险合同所载的最后住所或通讯地址发送的有关通知，均视为已发送给投保人。</w:t>
      </w:r>
    </w:p>
    <w:p>
      <w:pPr>
        <w:spacing w:line="360" w:lineRule="auto"/>
        <w:ind w:firstLine="426" w:firstLineChars="20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第二十一条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b/>
          <w:bCs/>
          <w:szCs w:val="21"/>
        </w:rPr>
        <w:t>被保险人变更其职业或工种时，投保人应于三十日内以书面形式通知保险人。若被保险人所变更的职业或者工种依照保险人职业分类（见释义2</w:t>
      </w:r>
      <w:r>
        <w:rPr>
          <w:rFonts w:asciiTheme="minorEastAsia" w:hAnsiTheme="minorEastAsia" w:eastAsiaTheme="minorEastAsia" w:cstheme="minorEastAsia"/>
          <w:b/>
          <w:bCs/>
          <w:szCs w:val="21"/>
        </w:rPr>
        <w:t>7</w:t>
      </w:r>
      <w:r>
        <w:rPr>
          <w:rFonts w:hint="eastAsia" w:asciiTheme="minorEastAsia" w:hAnsiTheme="minorEastAsia" w:eastAsiaTheme="minorEastAsia" w:cstheme="minorEastAsia"/>
          <w:b/>
          <w:bCs/>
          <w:szCs w:val="21"/>
        </w:rPr>
        <w:t>）在拒保范围内的，保险人对该被保险人所负保险责任自其职业或工种变更之日起终止，并退还未满期保险费。</w:t>
      </w:r>
    </w:p>
    <w:p>
      <w:pPr>
        <w:spacing w:line="360" w:lineRule="auto"/>
        <w:ind w:firstLine="426" w:firstLineChars="20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被保险人未履行本条约定的通知义务而发生保险事故的，且被保险人所变更的职业或者工种依照保险人职业分类在拒保范围内的，保险人不承担给付保险金的责任</w:t>
      </w:r>
      <w:r>
        <w:rPr>
          <w:rFonts w:hint="eastAsia" w:asciiTheme="minorEastAsia" w:hAnsiTheme="minorEastAsia" w:eastAsiaTheme="minorEastAsia" w:cstheme="minorEastAsia"/>
          <w:szCs w:val="21"/>
        </w:rPr>
        <w:t>，并自其职业或工种变更之日起，</w:t>
      </w:r>
      <w:r>
        <w:rPr>
          <w:rFonts w:hint="eastAsia" w:asciiTheme="minorEastAsia" w:hAnsiTheme="minorEastAsia" w:eastAsiaTheme="minorEastAsia" w:cstheme="minorEastAsia"/>
          <w:b/>
          <w:bCs/>
          <w:szCs w:val="21"/>
        </w:rPr>
        <w:t>按日计算退还未满期保险费，本保险合同终止。</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第二十二条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szCs w:val="21"/>
        </w:rPr>
        <w:t>投保人、被保险人或者保险金受益人知道保险事故发生后，应当及时通知保险人。</w:t>
      </w:r>
      <w:r>
        <w:rPr>
          <w:rFonts w:hint="eastAsia" w:asciiTheme="minorEastAsia" w:hAnsiTheme="minorEastAsia" w:eastAsiaTheme="minorEastAsia" w:cstheme="minorEastAsia"/>
          <w:b/>
          <w:bCs/>
          <w:szCs w:val="21"/>
        </w:rPr>
        <w:t>故意或者因重大过失未及时通知，致使保险事故的性质、原因、损失程度等难以确定的，保险人对无法确定的部分，不承担给付保险金责任，</w:t>
      </w:r>
      <w:r>
        <w:rPr>
          <w:rFonts w:hint="eastAsia" w:asciiTheme="minorEastAsia" w:hAnsiTheme="minorEastAsia" w:eastAsiaTheme="minorEastAsia" w:cstheme="minorEastAsia"/>
          <w:szCs w:val="21"/>
        </w:rPr>
        <w:t>但保险人通过其他途径已经及时知道或者应当及时知道保险事故发生的除外。</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上述约定，不包括因</w:t>
      </w:r>
      <w:r>
        <w:rPr>
          <w:rFonts w:hint="eastAsia" w:asciiTheme="minorEastAsia" w:hAnsiTheme="minorEastAsia" w:eastAsiaTheme="minorEastAsia" w:cstheme="minorEastAsia"/>
          <w:b/>
          <w:bCs/>
          <w:szCs w:val="21"/>
        </w:rPr>
        <w:t>不可抗力（见释义</w:t>
      </w:r>
      <w:r>
        <w:rPr>
          <w:rFonts w:asciiTheme="minorEastAsia" w:hAnsiTheme="minorEastAsia" w:eastAsiaTheme="minorEastAsia" w:cstheme="minorEastAsia"/>
          <w:b/>
          <w:bCs/>
          <w:szCs w:val="21"/>
        </w:rPr>
        <w:t>28）</w:t>
      </w:r>
      <w:r>
        <w:rPr>
          <w:rFonts w:hint="eastAsia" w:asciiTheme="minorEastAsia" w:hAnsiTheme="minorEastAsia" w:eastAsiaTheme="minorEastAsia" w:cstheme="minorEastAsia"/>
          <w:szCs w:val="21"/>
        </w:rPr>
        <w:t>而导致的迟延。</w:t>
      </w:r>
    </w:p>
    <w:bookmarkEnd w:id="13"/>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保险金申请与给付</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第二十三条</w:t>
      </w:r>
      <w:r>
        <w:rPr>
          <w:rFonts w:asciiTheme="minorEastAsia" w:hAnsiTheme="minorEastAsia" w:eastAsiaTheme="minorEastAsia" w:cstheme="minorEastAsia"/>
          <w:b/>
          <w:bCs/>
          <w:szCs w:val="21"/>
        </w:rPr>
        <w:t xml:space="preserve"> </w:t>
      </w:r>
      <w:r>
        <w:rPr>
          <w:rFonts w:hint="eastAsia" w:asciiTheme="minorEastAsia" w:hAnsiTheme="minorEastAsia" w:eastAsiaTheme="minorEastAsia" w:cstheme="minorEastAsia"/>
          <w:b/>
          <w:szCs w:val="21"/>
        </w:rPr>
        <w:t>保险金申请人（</w:t>
      </w:r>
      <w:r>
        <w:rPr>
          <w:rFonts w:hint="eastAsia" w:asciiTheme="minorEastAsia" w:hAnsiTheme="minorEastAsia" w:eastAsiaTheme="minorEastAsia" w:cstheme="minorEastAsia"/>
          <w:b/>
          <w:bCs/>
          <w:szCs w:val="21"/>
        </w:rPr>
        <w:t>见</w:t>
      </w:r>
      <w:r>
        <w:rPr>
          <w:rFonts w:hint="eastAsia" w:asciiTheme="minorEastAsia" w:hAnsiTheme="minorEastAsia" w:eastAsiaTheme="minorEastAsia" w:cstheme="minorEastAsia"/>
          <w:b/>
          <w:szCs w:val="21"/>
        </w:rPr>
        <w:t>释义</w:t>
      </w:r>
      <w:r>
        <w:rPr>
          <w:rFonts w:asciiTheme="minorEastAsia" w:hAnsiTheme="minorEastAsia" w:eastAsiaTheme="minorEastAsia" w:cstheme="minorEastAsia"/>
          <w:b/>
          <w:szCs w:val="21"/>
        </w:rPr>
        <w:t>29）</w:t>
      </w:r>
      <w:r>
        <w:rPr>
          <w:rFonts w:hint="eastAsia" w:asciiTheme="minorEastAsia" w:hAnsiTheme="minorEastAsia" w:eastAsiaTheme="minorEastAsia" w:cstheme="minorEastAsia"/>
          <w:szCs w:val="21"/>
        </w:rPr>
        <w:t>请求赔偿时，应向保险人提供以下证明和资料。保险金申请人因特殊原因不能提供以下材料的，应提供其他合法有效的材料。</w:t>
      </w:r>
      <w:r>
        <w:rPr>
          <w:rFonts w:hint="eastAsia" w:asciiTheme="minorEastAsia" w:hAnsiTheme="minorEastAsia" w:eastAsiaTheme="minorEastAsia" w:cstheme="minorEastAsia"/>
          <w:b/>
          <w:bCs/>
          <w:szCs w:val="21"/>
        </w:rPr>
        <w:t>保险金申请人未能提供有关材料，导致保险人无法核实的，保险人对无法核实部分不承担给付保险金的责任。</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w:t>
      </w:r>
      <w:r>
        <w:rPr>
          <w:rFonts w:hint="eastAsia" w:asciiTheme="minorEastAsia" w:hAnsiTheme="minorEastAsia" w:eastAsiaTheme="minorEastAsia" w:cstheme="minorEastAsia"/>
          <w:bCs/>
          <w:szCs w:val="21"/>
        </w:rPr>
        <w:t>保险金申请人</w:t>
      </w:r>
      <w:r>
        <w:rPr>
          <w:rFonts w:hint="eastAsia" w:asciiTheme="minorEastAsia" w:hAnsiTheme="minorEastAsia" w:eastAsiaTheme="minorEastAsia" w:cstheme="minorEastAsia"/>
          <w:szCs w:val="21"/>
        </w:rPr>
        <w:t>填具的索赔申请书；</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（三）保险金申请人的</w:t>
      </w:r>
      <w:r>
        <w:rPr>
          <w:rFonts w:hint="eastAsia" w:asciiTheme="minorEastAsia" w:hAnsiTheme="minorEastAsia" w:eastAsiaTheme="minorEastAsia" w:cstheme="minorEastAsia"/>
          <w:b/>
          <w:bCs/>
          <w:szCs w:val="21"/>
        </w:rPr>
        <w:t>有效身份证件（见释义</w:t>
      </w:r>
      <w:r>
        <w:rPr>
          <w:rFonts w:asciiTheme="minorEastAsia" w:hAnsiTheme="minorEastAsia" w:eastAsiaTheme="minorEastAsia" w:cstheme="minorEastAsia"/>
          <w:b/>
          <w:bCs/>
          <w:szCs w:val="21"/>
        </w:rPr>
        <w:t>30）</w:t>
      </w:r>
      <w:r>
        <w:rPr>
          <w:rFonts w:hint="eastAsia" w:asciiTheme="minorEastAsia" w:hAnsiTheme="minorEastAsia" w:eastAsiaTheme="minorEastAsia" w:cstheme="minorEastAsia"/>
          <w:szCs w:val="21"/>
        </w:rPr>
        <w:t>；</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支持索赔的全部账单、证明、信息和证据，包括但不限于医院出具的病历材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材料；</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金申请人所能提供的与确认保险事故的性质、原因、损失程度等有关的其他证明和材料；受益人为无民事行为能力人或者限制民事行为能力人的，由其监护人代为申领保险金，并需要提供监护人的身份证明等材料。</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第二十四条 </w:t>
      </w:r>
      <w:r>
        <w:rPr>
          <w:rFonts w:hint="eastAsia" w:asciiTheme="minorEastAsia" w:hAnsiTheme="minorEastAsia" w:eastAsiaTheme="minorEastAsia" w:cstheme="minorEastAsia"/>
          <w:szCs w:val="21"/>
        </w:rPr>
        <w:t>保险金申请人向保险人请求给付保险金的诉讼时效依据中华人民共和国法律（为本保险合同之目的，</w:t>
      </w:r>
      <w:r>
        <w:rPr>
          <w:rFonts w:hint="eastAsia" w:asciiTheme="minorEastAsia" w:hAnsiTheme="minorEastAsia" w:eastAsiaTheme="minorEastAsia" w:cstheme="minorEastAsia"/>
          <w:b/>
          <w:bCs/>
          <w:szCs w:val="21"/>
        </w:rPr>
        <w:t>不包括香港、澳门、台湾地区的法律</w:t>
      </w:r>
      <w:r>
        <w:rPr>
          <w:rFonts w:hint="eastAsia" w:asciiTheme="minorEastAsia" w:hAnsiTheme="minorEastAsia" w:eastAsiaTheme="minorEastAsia" w:cstheme="minorEastAsia"/>
          <w:szCs w:val="21"/>
        </w:rPr>
        <w:t>）确定，自其知道或者应当知道保险事故发生之日起计算。</w:t>
      </w:r>
    </w:p>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争议处理和法律适用</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第二十五条 </w:t>
      </w:r>
      <w:r>
        <w:rPr>
          <w:rFonts w:hint="eastAsia" w:asciiTheme="minorEastAsia" w:hAnsiTheme="minorEastAsia" w:eastAsiaTheme="minorEastAsia" w:cstheme="minorEastAsia"/>
          <w:szCs w:val="21"/>
        </w:rPr>
        <w:t>因履行本保险合同发生的争议，由当事人协商解决。协商不成的，可依法向中华人民共和国境内（</w:t>
      </w:r>
      <w:r>
        <w:rPr>
          <w:rFonts w:hint="eastAsia" w:asciiTheme="minorEastAsia" w:hAnsiTheme="minorEastAsia" w:eastAsiaTheme="minorEastAsia" w:cstheme="minorEastAsia"/>
          <w:b/>
          <w:bCs/>
          <w:szCs w:val="21"/>
        </w:rPr>
        <w:t>不包括港澳台地区</w:t>
      </w:r>
      <w:r>
        <w:rPr>
          <w:rFonts w:hint="eastAsia" w:asciiTheme="minorEastAsia" w:hAnsiTheme="minorEastAsia" w:eastAsiaTheme="minorEastAsia" w:cstheme="minorEastAsia"/>
          <w:szCs w:val="21"/>
        </w:rPr>
        <w:t>）有管辖权的人民法院起诉。</w:t>
      </w:r>
    </w:p>
    <w:p>
      <w:pPr>
        <w:numPr>
          <w:ilvl w:val="255"/>
          <w:numId w:val="0"/>
        </w:numPr>
        <w:adjustRightInd w:val="0"/>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第二十六条 </w:t>
      </w:r>
      <w:r>
        <w:rPr>
          <w:rFonts w:hint="eastAsia" w:asciiTheme="minorEastAsia" w:hAnsiTheme="minorEastAsia" w:eastAsiaTheme="minorEastAsia" w:cstheme="minorEastAsia"/>
          <w:szCs w:val="21"/>
        </w:rPr>
        <w:t>与本保险合同有关的以及履行本保险合同产生的一切争议处理适用中华人民共和国法律（</w:t>
      </w:r>
      <w:r>
        <w:rPr>
          <w:rFonts w:hint="eastAsia" w:asciiTheme="minorEastAsia" w:hAnsiTheme="minorEastAsia" w:eastAsiaTheme="minorEastAsia" w:cstheme="minorEastAsia"/>
          <w:b/>
          <w:bCs/>
          <w:szCs w:val="21"/>
        </w:rPr>
        <w:t>不包括香港、澳门、台湾地区有关法律</w:t>
      </w:r>
      <w:r>
        <w:rPr>
          <w:rFonts w:hint="eastAsia" w:asciiTheme="minorEastAsia" w:hAnsiTheme="minorEastAsia" w:eastAsiaTheme="minorEastAsia" w:cstheme="minorEastAsia"/>
          <w:szCs w:val="21"/>
        </w:rPr>
        <w:t>）。</w:t>
      </w:r>
    </w:p>
    <w:p>
      <w:pPr>
        <w:pStyle w:val="15"/>
        <w:spacing w:line="360" w:lineRule="auto"/>
        <w:ind w:left="0" w:leftChars="0" w:firstLine="0" w:firstLineChars="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其他事项</w:t>
      </w:r>
    </w:p>
    <w:p>
      <w:pPr>
        <w:numPr>
          <w:ilvl w:val="255"/>
          <w:numId w:val="0"/>
        </w:numPr>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 xml:space="preserve">第二十七条 </w:t>
      </w:r>
      <w:r>
        <w:rPr>
          <w:rFonts w:hint="eastAsia" w:asciiTheme="minorEastAsia" w:hAnsiTheme="minorEastAsia" w:eastAsiaTheme="minorEastAsia" w:cstheme="minorEastAsia"/>
          <w:szCs w:val="21"/>
        </w:rPr>
        <w:t>除本保险合同另有约定外，经投保人和保险人协商同意后，可变更本保险合同的有关内容。变更本保险合同时，投保人应填写变更合同申请书，经保险人审核同意，并在本保险合同的保险单或其它保险凭证上加以批注，或由投保人和保险人订立变更的书面协议后生效。</w:t>
      </w:r>
    </w:p>
    <w:p>
      <w:pPr>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 xml:space="preserve">第二十八条 </w:t>
      </w:r>
      <w:r>
        <w:rPr>
          <w:rFonts w:hint="eastAsia" w:asciiTheme="minorEastAsia" w:hAnsiTheme="minorEastAsia" w:eastAsiaTheme="minorEastAsia" w:cstheme="minorEastAsia"/>
          <w:szCs w:val="21"/>
        </w:rPr>
        <w:t>在本保险合同成立后，投保人可以书面形式通知保险人解除合同，</w:t>
      </w:r>
      <w:r>
        <w:rPr>
          <w:rFonts w:hint="eastAsia" w:asciiTheme="minorEastAsia" w:hAnsiTheme="minorEastAsia" w:eastAsiaTheme="minorEastAsia" w:cstheme="minorEastAsia"/>
          <w:b/>
          <w:bCs/>
          <w:szCs w:val="21"/>
        </w:rPr>
        <w:t>但保险人已根据本保险合同约定给付保险金的除外。</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投保人解除本保险合同时，应提供下列证明文件和资料：</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（一）保险合同解除申请书；</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（二）保险合同凭证；</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（三）保险费交付凭证；</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（四）投保人身份证明；</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（五）保险人需要的其它有关文件和资料。</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投保人要求解除本保险合同，</w:t>
      </w:r>
      <w:r>
        <w:rPr>
          <w:rFonts w:hint="eastAsia" w:asciiTheme="minorEastAsia" w:hAnsiTheme="minorEastAsia" w:eastAsiaTheme="minorEastAsia" w:cstheme="minorEastAsia"/>
          <w:b/>
          <w:bCs/>
          <w:szCs w:val="21"/>
        </w:rPr>
        <w:t>自保险人接到保险合同解除申请书之时起，本保险合同的效力终止。</w:t>
      </w:r>
      <w:r>
        <w:rPr>
          <w:rFonts w:hint="eastAsia" w:asciiTheme="minorEastAsia" w:hAnsiTheme="minorEastAsia" w:eastAsiaTheme="minorEastAsia" w:cstheme="minorEastAsia"/>
          <w:szCs w:val="21"/>
        </w:rPr>
        <w:t>保险人收到上述证明文件和资料之日起</w:t>
      </w:r>
      <w:r>
        <w:rPr>
          <w:rFonts w:asciiTheme="minorEastAsia" w:hAnsiTheme="minorEastAsia" w:eastAsiaTheme="minorEastAsia" w:cstheme="minorEastAsia"/>
          <w:szCs w:val="21"/>
        </w:rPr>
        <w:t>30日内退还保险单的</w:t>
      </w:r>
      <w:r>
        <w:rPr>
          <w:rFonts w:hint="eastAsia" w:asciiTheme="minorEastAsia" w:hAnsiTheme="minorEastAsia" w:eastAsiaTheme="minorEastAsia" w:cstheme="minorEastAsia"/>
          <w:szCs w:val="21"/>
        </w:rPr>
        <w:t>未满期保险费</w:t>
      </w:r>
      <w:r>
        <w:rPr>
          <w:rFonts w:asciiTheme="minorEastAsia" w:hAnsiTheme="minorEastAsia" w:eastAsiaTheme="minorEastAsia" w:cstheme="minorEastAsia"/>
          <w:szCs w:val="21"/>
        </w:rPr>
        <w:t>。</w:t>
      </w:r>
    </w:p>
    <w:p>
      <w:pPr>
        <w:spacing w:line="360" w:lineRule="auto"/>
        <w:ind w:firstLine="426" w:firstLineChars="20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第二十九条</w:t>
      </w:r>
      <w:r>
        <w:rPr>
          <w:rFonts w:asciiTheme="minorEastAsia" w:hAnsiTheme="minorEastAsia" w:eastAsiaTheme="minorEastAsia" w:cstheme="minorEastAsia"/>
          <w:b/>
          <w:szCs w:val="21"/>
        </w:rPr>
        <w:t xml:space="preserve"> </w:t>
      </w:r>
      <w:r>
        <w:rPr>
          <w:rFonts w:hint="eastAsia" w:asciiTheme="minorEastAsia" w:hAnsiTheme="minorEastAsia" w:eastAsiaTheme="minorEastAsia" w:cstheme="minorEastAsia"/>
          <w:b/>
          <w:szCs w:val="21"/>
        </w:rPr>
        <w:t>发生以下情况之一时，本保险合同效力即时终止：</w:t>
      </w:r>
    </w:p>
    <w:p>
      <w:pPr>
        <w:spacing w:line="360" w:lineRule="auto"/>
        <w:ind w:firstLine="426" w:firstLineChars="20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（一）保险期间届满；</w:t>
      </w:r>
    </w:p>
    <w:p>
      <w:pPr>
        <w:spacing w:line="360" w:lineRule="auto"/>
        <w:ind w:firstLine="426" w:firstLineChars="20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（二）被保险人身故；</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（三）因本保险合同其他条款所约定的情况而终止效力。</w:t>
      </w:r>
      <w:r>
        <w:rPr>
          <w:rFonts w:asciiTheme="minorEastAsia" w:hAnsiTheme="minorEastAsia" w:eastAsiaTheme="minorEastAsia" w:cstheme="minorEastAsia"/>
          <w:b/>
          <w:szCs w:val="21"/>
        </w:rPr>
        <w:t></w:t>
      </w:r>
    </w:p>
    <w:p>
      <w:pPr>
        <w:adjustRightInd w:val="0"/>
        <w:snapToGrid w:val="0"/>
        <w:spacing w:line="360" w:lineRule="auto"/>
        <w:ind w:firstLine="422" w:firstLineChars="200"/>
        <w:rPr>
          <w:rFonts w:asciiTheme="minorEastAsia" w:hAnsiTheme="minorEastAsia" w:eastAsiaTheme="minorEastAsia" w:cstheme="minorEastAsia"/>
          <w:b/>
          <w:szCs w:val="21"/>
        </w:rPr>
      </w:pPr>
      <w:r>
        <w:rPr>
          <w:rFonts w:asciiTheme="minorEastAsia" w:hAnsiTheme="minorEastAsia" w:eastAsiaTheme="minorEastAsia" w:cstheme="minorEastAsia"/>
          <w:b/>
          <w:szCs w:val="21"/>
        </w:rPr>
        <w:br w:type="page"/>
      </w:r>
    </w:p>
    <w:p>
      <w:pPr>
        <w:adjustRightInd w:val="0"/>
        <w:snapToGrid w:val="0"/>
        <w:spacing w:line="360" w:lineRule="auto"/>
        <w:ind w:firstLine="420" w:firstLineChars="199"/>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释义</w:t>
      </w:r>
    </w:p>
    <w:p>
      <w:pPr>
        <w:pStyle w:val="16"/>
        <w:numPr>
          <w:ilvl w:val="255"/>
          <w:numId w:val="0"/>
        </w:numPr>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1、周岁：</w:t>
      </w:r>
      <w:r>
        <w:rPr>
          <w:rFonts w:hint="eastAsia" w:asciiTheme="minorEastAsia" w:hAnsiTheme="minorEastAsia" w:eastAsiaTheme="minorEastAsia" w:cstheme="minorEastAsia"/>
          <w:szCs w:val="21"/>
        </w:rPr>
        <w:t>指按有效身份证件中记载的出生日期计算的年龄，自出生之日起为零周岁，每经过一年增加一岁，不足一年的不计。</w:t>
      </w:r>
    </w:p>
    <w:p>
      <w:pPr>
        <w:pStyle w:val="16"/>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bCs/>
          <w:szCs w:val="21"/>
        </w:rPr>
        <w:t>2</w:t>
      </w: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重大疾病：</w:t>
      </w:r>
      <w:r>
        <w:rPr>
          <w:rFonts w:hint="eastAsia" w:asciiTheme="minorEastAsia" w:hAnsiTheme="minorEastAsia" w:eastAsiaTheme="minorEastAsia" w:cstheme="minorEastAsia"/>
          <w:szCs w:val="21"/>
        </w:rPr>
        <w:t>本保险合同所规定的重大疾病指被保险人发生符合以下疾病定义所述条件的疾病：</w:t>
      </w:r>
    </w:p>
    <w:p>
      <w:pPr>
        <w:pStyle w:val="20"/>
        <w:numPr>
          <w:ilvl w:val="0"/>
          <w:numId w:val="1"/>
        </w:numPr>
        <w:autoSpaceDE w:val="0"/>
        <w:autoSpaceDN w:val="0"/>
        <w:adjustRightInd w:val="0"/>
        <w:snapToGrid w:val="0"/>
        <w:spacing w:line="276"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恶性肿瘤——重度</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指恶性细胞不受控制的进行性增长和扩散，浸润和破坏周围正常组织，可以经血管、淋巴管和体腔扩散转移到身体其他部位，病灶经</w:t>
      </w:r>
      <w:r>
        <w:rPr>
          <w:rFonts w:hint="eastAsia" w:asciiTheme="minorEastAsia" w:hAnsiTheme="minorEastAsia" w:eastAsiaTheme="minorEastAsia" w:cstheme="minorEastAsia"/>
          <w:b/>
          <w:color w:val="000000"/>
          <w:kern w:val="0"/>
          <w:szCs w:val="21"/>
          <w:lang w:bidi="ar"/>
        </w:rPr>
        <w:t>组织病理学检查（见释义3</w:t>
      </w:r>
      <w:r>
        <w:rPr>
          <w:rFonts w:asciiTheme="minorEastAsia" w:hAnsiTheme="minorEastAsia" w:eastAsiaTheme="minorEastAsia" w:cstheme="minorEastAsia"/>
          <w:b/>
          <w:color w:val="000000"/>
          <w:kern w:val="0"/>
          <w:szCs w:val="21"/>
          <w:lang w:bidi="ar"/>
        </w:rPr>
        <w:t>1</w:t>
      </w:r>
      <w:r>
        <w:rPr>
          <w:rFonts w:hint="eastAsia" w:asciiTheme="minorEastAsia" w:hAnsiTheme="minorEastAsia" w:eastAsiaTheme="minorEastAsia" w:cstheme="minorEastAsia"/>
          <w:b/>
          <w:color w:val="000000"/>
          <w:kern w:val="0"/>
          <w:szCs w:val="21"/>
          <w:lang w:bidi="ar"/>
        </w:rPr>
        <w:t>）</w:t>
      </w:r>
      <w:r>
        <w:rPr>
          <w:rFonts w:hint="eastAsia" w:asciiTheme="minorEastAsia" w:hAnsiTheme="minorEastAsia" w:eastAsiaTheme="minorEastAsia" w:cstheme="minorEastAsia"/>
          <w:color w:val="000000"/>
          <w:kern w:val="0"/>
          <w:szCs w:val="21"/>
          <w:lang w:bidi="ar"/>
        </w:rPr>
        <w:t>（涵盖骨髓病理学检查）结果明确诊断，临床诊断属于世界卫生组织（</w:t>
      </w:r>
      <w:r>
        <w:rPr>
          <w:rFonts w:asciiTheme="minorEastAsia" w:hAnsiTheme="minorEastAsia" w:eastAsiaTheme="minorEastAsia" w:cstheme="minorEastAsia"/>
          <w:color w:val="000000"/>
          <w:kern w:val="0"/>
          <w:szCs w:val="21"/>
          <w:lang w:bidi="ar"/>
        </w:rPr>
        <w:t>WHO，World Health Organization）《疾病和有关健康问题的国际统计分类》第十次修订版</w:t>
      </w:r>
      <w:r>
        <w:rPr>
          <w:rFonts w:hint="eastAsia" w:asciiTheme="minorEastAsia" w:hAnsiTheme="minorEastAsia" w:eastAsiaTheme="minorEastAsia" w:cstheme="minorEastAsia"/>
          <w:bCs/>
          <w:color w:val="000000"/>
          <w:kern w:val="0"/>
          <w:szCs w:val="21"/>
          <w:lang w:bidi="ar"/>
        </w:rPr>
        <w:t>（</w:t>
      </w:r>
      <w:r>
        <w:rPr>
          <w:rFonts w:asciiTheme="minorEastAsia" w:hAnsiTheme="minorEastAsia" w:eastAsiaTheme="minorEastAsia" w:cstheme="minorEastAsia"/>
          <w:b/>
          <w:color w:val="000000"/>
          <w:kern w:val="0"/>
          <w:szCs w:val="21"/>
          <w:lang w:bidi="ar"/>
        </w:rPr>
        <w:t>ICD-10</w:t>
      </w:r>
      <w:r>
        <w:rPr>
          <w:rFonts w:asciiTheme="minorEastAsia" w:hAnsiTheme="minorEastAsia" w:eastAsiaTheme="minorEastAsia" w:cstheme="minorEastAsia"/>
          <w:bCs/>
          <w:color w:val="000000"/>
          <w:kern w:val="0"/>
          <w:szCs w:val="21"/>
          <w:lang w:bidi="ar"/>
        </w:rPr>
        <w:t>）</w:t>
      </w:r>
      <w:r>
        <w:rPr>
          <w:rFonts w:hint="eastAsia" w:asciiTheme="minorEastAsia" w:hAnsiTheme="minorEastAsia" w:eastAsiaTheme="minorEastAsia" w:cstheme="minorEastAsia"/>
          <w:color w:val="000000"/>
          <w:kern w:val="0"/>
          <w:szCs w:val="21"/>
          <w:lang w:bidi="ar"/>
        </w:rPr>
        <w:t>的恶性肿瘤类别及《国际疾病分类肿瘤学专辑》第三版</w:t>
      </w:r>
      <w:r>
        <w:rPr>
          <w:rFonts w:hint="eastAsia" w:asciiTheme="minorEastAsia" w:hAnsiTheme="minorEastAsia" w:eastAsiaTheme="minorEastAsia" w:cstheme="minorEastAsia"/>
          <w:bCs/>
          <w:color w:val="000000"/>
          <w:kern w:val="0"/>
          <w:szCs w:val="21"/>
          <w:lang w:bidi="ar"/>
        </w:rPr>
        <w:t>（</w:t>
      </w:r>
      <w:r>
        <w:rPr>
          <w:rFonts w:asciiTheme="minorEastAsia" w:hAnsiTheme="minorEastAsia" w:eastAsiaTheme="minorEastAsia" w:cstheme="minorEastAsia"/>
          <w:b/>
          <w:color w:val="000000"/>
          <w:kern w:val="0"/>
          <w:szCs w:val="21"/>
          <w:lang w:bidi="ar"/>
        </w:rPr>
        <w:t>ICD-O-3</w:t>
      </w:r>
      <w:r>
        <w:rPr>
          <w:rFonts w:asciiTheme="minorEastAsia" w:hAnsiTheme="minorEastAsia" w:eastAsiaTheme="minorEastAsia" w:cstheme="minorEastAsia"/>
          <w:bCs/>
          <w:color w:val="000000"/>
          <w:kern w:val="0"/>
          <w:szCs w:val="21"/>
          <w:lang w:bidi="ar"/>
        </w:rPr>
        <w:t>）</w:t>
      </w:r>
      <w:r>
        <w:rPr>
          <w:rFonts w:hint="eastAsia" w:asciiTheme="minorEastAsia" w:hAnsiTheme="minorEastAsia" w:eastAsiaTheme="minorEastAsia" w:cstheme="minorEastAsia"/>
          <w:color w:val="000000"/>
          <w:kern w:val="0"/>
          <w:szCs w:val="21"/>
          <w:lang w:bidi="ar"/>
        </w:rPr>
        <w:t>的肿瘤形态学编码属于</w:t>
      </w:r>
      <w:r>
        <w:rPr>
          <w:rFonts w:asciiTheme="minorEastAsia" w:hAnsiTheme="minorEastAsia" w:eastAsiaTheme="minorEastAsia" w:cstheme="minorEastAsia"/>
          <w:color w:val="000000"/>
          <w:kern w:val="0"/>
          <w:szCs w:val="21"/>
          <w:lang w:bidi="ar"/>
        </w:rPr>
        <w:t xml:space="preserve"> 3、6、9（恶性肿瘤）范畴的疾病</w:t>
      </w:r>
      <w:r>
        <w:rPr>
          <w:rFonts w:hint="eastAsia" w:asciiTheme="minorEastAsia" w:hAnsiTheme="minorEastAsia" w:eastAsiaTheme="minorEastAsia" w:cstheme="minorEastAsia"/>
          <w:b/>
          <w:color w:val="000000"/>
          <w:kern w:val="0"/>
          <w:szCs w:val="21"/>
          <w:lang w:bidi="ar"/>
        </w:rPr>
        <w:t>（见释义3</w:t>
      </w:r>
      <w:r>
        <w:rPr>
          <w:rFonts w:asciiTheme="minorEastAsia" w:hAnsiTheme="minorEastAsia" w:eastAsiaTheme="minorEastAsia" w:cstheme="minorEastAsia"/>
          <w:b/>
          <w:color w:val="000000"/>
          <w:kern w:val="0"/>
          <w:szCs w:val="21"/>
          <w:lang w:bidi="ar"/>
        </w:rPr>
        <w:t>2</w:t>
      </w:r>
      <w:r>
        <w:rPr>
          <w:rFonts w:hint="eastAsia" w:asciiTheme="minorEastAsia" w:hAnsiTheme="minorEastAsia" w:eastAsiaTheme="minorEastAsia" w:cstheme="minorEastAsia"/>
          <w:b/>
          <w:color w:val="000000"/>
          <w:kern w:val="0"/>
          <w:szCs w:val="21"/>
          <w:lang w:bidi="ar"/>
        </w:rPr>
        <w:t>）</w:t>
      </w: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下列疾病不属于“恶性肿瘤——重度”，不在保障范围内：</w:t>
      </w:r>
      <w:r>
        <w:rPr>
          <w:rFonts w:asciiTheme="minorEastAsia" w:hAnsiTheme="minorEastAsia" w:eastAsiaTheme="minorEastAsia" w:cstheme="minorEastAsia"/>
          <w:b/>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1）ICD-O-3 肿瘤形态学编码属于 0（良性肿瘤）、1（动态未定性肿瘤）、2（原位癌和非侵袭性癌）范畴的疾病，如：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asciiTheme="minorEastAsia" w:hAnsiTheme="minorEastAsia" w:eastAsiaTheme="minorEastAsia" w:cstheme="minorEastAsia"/>
          <w:b/>
          <w:color w:val="000000"/>
          <w:kern w:val="0"/>
          <w:szCs w:val="21"/>
          <w:lang w:bidi="ar"/>
        </w:rPr>
        <w:t xml:space="preserve">a.原位癌，癌前病变，非浸润性癌，非侵袭性癌，肿瘤细胞未侵犯基底层，上皮内瘤变，细胞不典型性增生等；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asciiTheme="minorEastAsia" w:hAnsiTheme="minorEastAsia" w:eastAsiaTheme="minorEastAsia" w:cstheme="minorEastAsia"/>
          <w:b/>
          <w:color w:val="000000"/>
          <w:kern w:val="0"/>
          <w:szCs w:val="21"/>
          <w:lang w:bidi="ar"/>
        </w:rPr>
        <w:t xml:space="preserve">b.交界性肿瘤，交界恶性肿瘤，肿瘤低度恶性潜能，潜在低度恶性肿瘤等；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2）TNM 分期</w:t>
      </w:r>
      <w:r>
        <w:rPr>
          <w:rFonts w:hint="eastAsia" w:asciiTheme="minorEastAsia" w:hAnsiTheme="minorEastAsia" w:eastAsiaTheme="minorEastAsia" w:cstheme="minorEastAsia"/>
          <w:b/>
          <w:color w:val="000000"/>
          <w:kern w:val="0"/>
          <w:szCs w:val="21"/>
          <w:lang w:bidi="ar"/>
        </w:rPr>
        <w:t>（见释义3</w:t>
      </w:r>
      <w:r>
        <w:rPr>
          <w:rFonts w:asciiTheme="minorEastAsia" w:hAnsiTheme="minorEastAsia" w:eastAsiaTheme="minorEastAsia" w:cstheme="minorEastAsia"/>
          <w:b/>
          <w:color w:val="000000"/>
          <w:kern w:val="0"/>
          <w:szCs w:val="21"/>
          <w:lang w:bidi="ar"/>
        </w:rPr>
        <w:t>3</w:t>
      </w: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为Ⅰ期或更轻分期的甲状腺癌</w:t>
      </w:r>
      <w:r>
        <w:rPr>
          <w:rFonts w:hint="eastAsia" w:asciiTheme="minorEastAsia" w:hAnsiTheme="minorEastAsia" w:eastAsiaTheme="minorEastAsia" w:cstheme="minorEastAsia"/>
          <w:b/>
          <w:color w:val="000000"/>
          <w:kern w:val="0"/>
          <w:szCs w:val="21"/>
          <w:lang w:bidi="ar"/>
        </w:rPr>
        <w:t>（见释义3</w:t>
      </w:r>
      <w:r>
        <w:rPr>
          <w:rFonts w:asciiTheme="minorEastAsia" w:hAnsiTheme="minorEastAsia" w:eastAsiaTheme="minorEastAsia" w:cstheme="minorEastAsia"/>
          <w:b/>
          <w:color w:val="000000"/>
          <w:kern w:val="0"/>
          <w:szCs w:val="21"/>
          <w:lang w:bidi="ar"/>
        </w:rPr>
        <w:t>4</w:t>
      </w: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3）TNM 分期为 T</w:t>
      </w:r>
      <w:r>
        <w:rPr>
          <w:rFonts w:asciiTheme="minorEastAsia" w:hAnsiTheme="minorEastAsia" w:eastAsiaTheme="minorEastAsia" w:cstheme="minorEastAsia"/>
          <w:b/>
          <w:color w:val="000000"/>
          <w:kern w:val="0"/>
          <w:szCs w:val="21"/>
          <w:vertAlign w:val="subscript"/>
          <w:lang w:bidi="ar"/>
        </w:rPr>
        <w:t>1</w:t>
      </w:r>
      <w:r>
        <w:rPr>
          <w:rFonts w:asciiTheme="minorEastAsia" w:hAnsiTheme="minorEastAsia" w:eastAsiaTheme="minorEastAsia" w:cstheme="minorEastAsia"/>
          <w:b/>
          <w:color w:val="000000"/>
          <w:kern w:val="0"/>
          <w:szCs w:val="21"/>
          <w:lang w:bidi="ar"/>
        </w:rPr>
        <w:t>N</w:t>
      </w:r>
      <w:r>
        <w:rPr>
          <w:rFonts w:asciiTheme="minorEastAsia" w:hAnsiTheme="minorEastAsia" w:eastAsiaTheme="minorEastAsia" w:cstheme="minorEastAsia"/>
          <w:b/>
          <w:color w:val="000000"/>
          <w:kern w:val="0"/>
          <w:szCs w:val="21"/>
          <w:vertAlign w:val="subscript"/>
          <w:lang w:bidi="ar"/>
        </w:rPr>
        <w:t>0</w:t>
      </w:r>
      <w:r>
        <w:rPr>
          <w:rFonts w:asciiTheme="minorEastAsia" w:hAnsiTheme="minorEastAsia" w:eastAsiaTheme="minorEastAsia" w:cstheme="minorEastAsia"/>
          <w:b/>
          <w:color w:val="000000"/>
          <w:kern w:val="0"/>
          <w:szCs w:val="21"/>
          <w:lang w:bidi="ar"/>
        </w:rPr>
        <w:t>M</w:t>
      </w:r>
      <w:r>
        <w:rPr>
          <w:rFonts w:asciiTheme="minorEastAsia" w:hAnsiTheme="minorEastAsia" w:eastAsiaTheme="minorEastAsia" w:cstheme="minorEastAsia"/>
          <w:b/>
          <w:color w:val="000000"/>
          <w:kern w:val="0"/>
          <w:szCs w:val="21"/>
          <w:vertAlign w:val="subscript"/>
          <w:lang w:bidi="ar"/>
        </w:rPr>
        <w:t>0</w:t>
      </w:r>
      <w:r>
        <w:rPr>
          <w:rFonts w:asciiTheme="minorEastAsia" w:hAnsiTheme="minorEastAsia" w:eastAsiaTheme="minorEastAsia" w:cstheme="minorEastAsia"/>
          <w:b/>
          <w:color w:val="000000"/>
          <w:kern w:val="0"/>
          <w:szCs w:val="21"/>
          <w:lang w:bidi="ar"/>
        </w:rPr>
        <w:t xml:space="preserve">期或更轻分期的前列腺癌；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4）黑色素瘤以外的未发生淋巴结和远处转移的皮肤恶性肿瘤；</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5）相当于 Binet 分期方案 A </w:t>
      </w:r>
      <w:r>
        <w:rPr>
          <w:rFonts w:hint="eastAsia" w:asciiTheme="minorEastAsia" w:hAnsiTheme="minorEastAsia" w:eastAsiaTheme="minorEastAsia" w:cstheme="minorEastAsia"/>
          <w:b/>
          <w:color w:val="000000"/>
          <w:kern w:val="0"/>
          <w:szCs w:val="21"/>
          <w:lang w:bidi="ar"/>
        </w:rPr>
        <w:t>期程度的慢性淋巴细胞白血病；</w:t>
      </w:r>
      <w:r>
        <w:rPr>
          <w:rFonts w:asciiTheme="minorEastAsia" w:hAnsiTheme="minorEastAsia" w:eastAsiaTheme="minorEastAsia" w:cstheme="minorEastAsia"/>
          <w:b/>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6）相当于 Ann Arbor </w:t>
      </w:r>
      <w:r>
        <w:rPr>
          <w:rFonts w:hint="eastAsia" w:asciiTheme="minorEastAsia" w:hAnsiTheme="minorEastAsia" w:eastAsiaTheme="minorEastAsia" w:cstheme="minorEastAsia"/>
          <w:b/>
          <w:color w:val="000000"/>
          <w:kern w:val="0"/>
          <w:szCs w:val="21"/>
          <w:lang w:bidi="ar"/>
        </w:rPr>
        <w:t>分期方案Ⅰ期程度的何杰金氏病；</w:t>
      </w:r>
      <w:r>
        <w:rPr>
          <w:rFonts w:asciiTheme="minorEastAsia" w:hAnsiTheme="minorEastAsia" w:eastAsiaTheme="minorEastAsia" w:cstheme="minorEastAsia"/>
          <w:b/>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7）未发生淋巴结和远处转移且 WHO </w:t>
      </w:r>
      <w:r>
        <w:rPr>
          <w:rFonts w:hint="eastAsia" w:asciiTheme="minorEastAsia" w:hAnsiTheme="minorEastAsia" w:eastAsiaTheme="minorEastAsia" w:cstheme="minorEastAsia"/>
          <w:b/>
          <w:color w:val="000000"/>
          <w:kern w:val="0"/>
          <w:szCs w:val="21"/>
          <w:lang w:bidi="ar"/>
        </w:rPr>
        <w:t>分级为</w:t>
      </w:r>
      <w:r>
        <w:rPr>
          <w:rFonts w:asciiTheme="minorEastAsia" w:hAnsiTheme="minorEastAsia" w:eastAsiaTheme="minorEastAsia" w:cstheme="minorEastAsia"/>
          <w:b/>
          <w:color w:val="000000"/>
          <w:kern w:val="0"/>
          <w:szCs w:val="21"/>
          <w:lang w:bidi="ar"/>
        </w:rPr>
        <w:t xml:space="preserve"> G1 </w:t>
      </w:r>
      <w:r>
        <w:rPr>
          <w:rFonts w:hint="eastAsia" w:asciiTheme="minorEastAsia" w:hAnsiTheme="minorEastAsia" w:eastAsiaTheme="minorEastAsia" w:cstheme="minorEastAsia"/>
          <w:b/>
          <w:color w:val="000000"/>
          <w:kern w:val="0"/>
          <w:szCs w:val="21"/>
          <w:lang w:bidi="ar"/>
        </w:rPr>
        <w:t>级别（核分裂像</w:t>
      </w:r>
      <w:r>
        <w:rPr>
          <w:rFonts w:asciiTheme="minorEastAsia" w:hAnsiTheme="minorEastAsia" w:eastAsiaTheme="minorEastAsia" w:cstheme="minorEastAsia"/>
          <w:b/>
          <w:color w:val="000000"/>
          <w:kern w:val="0"/>
          <w:szCs w:val="21"/>
          <w:lang w:bidi="ar"/>
        </w:rPr>
        <w:t xml:space="preserve">&lt;10/50 HPF </w:t>
      </w:r>
      <w:r>
        <w:rPr>
          <w:rFonts w:hint="eastAsia" w:asciiTheme="minorEastAsia" w:hAnsiTheme="minorEastAsia" w:eastAsiaTheme="minorEastAsia" w:cstheme="minorEastAsia"/>
          <w:b/>
          <w:color w:val="000000"/>
          <w:kern w:val="0"/>
          <w:szCs w:val="21"/>
          <w:lang w:bidi="ar"/>
        </w:rPr>
        <w:t>和</w:t>
      </w:r>
      <w:r>
        <w:rPr>
          <w:rFonts w:asciiTheme="minorEastAsia" w:hAnsiTheme="minorEastAsia" w:eastAsiaTheme="minorEastAsia" w:cstheme="minorEastAsia"/>
          <w:b/>
          <w:color w:val="000000"/>
          <w:kern w:val="0"/>
          <w:szCs w:val="21"/>
          <w:lang w:bidi="ar"/>
        </w:rPr>
        <w:t xml:space="preserve"> ki-67≤2%）或更轻分级的神经内分泌肿瘤。</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较重急性心肌梗死</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急性心肌梗死指由于冠状动脉闭塞或梗阻引起部分心肌严重的持久性缺血造成急性心肌坏死。急性心肌梗死的诊断必须依据国际国内诊断标准，符合（</w:t>
      </w:r>
      <w:r>
        <w:rPr>
          <w:rFonts w:asciiTheme="minorEastAsia" w:hAnsiTheme="minorEastAsia" w:eastAsiaTheme="minorEastAsia" w:cstheme="minorEastAsia"/>
          <w:color w:val="000000"/>
          <w:kern w:val="0"/>
          <w:szCs w:val="21"/>
          <w:lang w:bidi="ar"/>
        </w:rPr>
        <w:t>1）检测到肌酸激酶同工酶（CK-MB）或肌钙蛋白（cTn</w:t>
      </w:r>
      <w:r>
        <w:rPr>
          <w:rFonts w:hint="eastAsia" w:asciiTheme="minorEastAsia" w:hAnsiTheme="minorEastAsia" w:eastAsiaTheme="minorEastAsia" w:cstheme="minorEastAsia"/>
          <w:color w:val="000000"/>
          <w:kern w:val="0"/>
          <w:szCs w:val="21"/>
          <w:lang w:bidi="ar"/>
        </w:rPr>
        <w:t>）升高和</w:t>
      </w:r>
      <w:r>
        <w:rPr>
          <w:rFonts w:asciiTheme="minorEastAsia" w:hAnsiTheme="minorEastAsia" w:eastAsiaTheme="minorEastAsia" w:cstheme="minorEastAsia"/>
          <w:color w:val="000000"/>
          <w:kern w:val="0"/>
          <w:szCs w:val="21"/>
          <w:lang w:bidi="ar"/>
        </w:rPr>
        <w:t xml:space="preserve">/或降低的动态变化，至少一次达到或超过心肌梗死的临床诊断 </w:t>
      </w:r>
    </w:p>
    <w:p>
      <w:pPr>
        <w:widowControl/>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标准；（</w:t>
      </w:r>
      <w:r>
        <w:rPr>
          <w:rFonts w:asciiTheme="minorEastAsia" w:hAnsiTheme="minorEastAsia" w:eastAsiaTheme="minorEastAsia" w:cstheme="minorEastAsia"/>
          <w:color w:val="000000"/>
          <w:kern w:val="0"/>
          <w:szCs w:val="21"/>
          <w:lang w:bidi="ar"/>
        </w:rPr>
        <w:t xml:space="preserve">2）同时存在下列之一的证据，包括：缺血性胸痛症状、新发生的缺血性心电图改变、新生成的病理性 Q 波、影像学证据显示有新出现的心肌活性丧失或新出现局部室壁运动异常、冠脉造影证实存在冠状动脉血栓。 </w:t>
      </w:r>
    </w:p>
    <w:p>
      <w:pPr>
        <w:widowControl/>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较重急性心肌梗死指依照上述标准被明确诊断为急性心肌梗死，并且必须同时满足下列至少一项条件：</w:t>
      </w:r>
      <w:r>
        <w:rPr>
          <w:rFonts w:asciiTheme="minorEastAsia" w:hAnsiTheme="minorEastAsia" w:eastAsiaTheme="minorEastAsia" w:cstheme="minorEastAsia"/>
          <w:color w:val="000000"/>
          <w:kern w:val="0"/>
          <w:szCs w:val="21"/>
          <w:lang w:bidi="ar"/>
        </w:rPr>
        <w:t xml:space="preserve"> </w:t>
      </w:r>
    </w:p>
    <w:p>
      <w:pPr>
        <w:widowControl/>
        <w:numPr>
          <w:ilvl w:val="0"/>
          <w:numId w:val="2"/>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心肌损伤标志物肌钙蛋白（</w:t>
      </w:r>
      <w:r>
        <w:rPr>
          <w:rFonts w:asciiTheme="minorEastAsia" w:hAnsiTheme="minorEastAsia" w:eastAsiaTheme="minorEastAsia" w:cstheme="minorEastAsia"/>
          <w:color w:val="000000"/>
          <w:kern w:val="0"/>
          <w:szCs w:val="21"/>
          <w:lang w:bidi="ar"/>
        </w:rPr>
        <w:t>cTn</w:t>
      </w:r>
      <w:r>
        <w:rPr>
          <w:rFonts w:hint="eastAsia" w:asciiTheme="minorEastAsia" w:hAnsiTheme="minorEastAsia" w:eastAsiaTheme="minorEastAsia" w:cstheme="minorEastAsia"/>
          <w:color w:val="000000"/>
          <w:kern w:val="0"/>
          <w:szCs w:val="21"/>
          <w:lang w:bidi="ar"/>
        </w:rPr>
        <w:t>）升高，至少一次检测结果达到该检验正常参考值上限的</w:t>
      </w:r>
      <w:r>
        <w:rPr>
          <w:rFonts w:asciiTheme="minorEastAsia" w:hAnsiTheme="minorEastAsia" w:eastAsiaTheme="minorEastAsia" w:cstheme="minorEastAsia"/>
          <w:color w:val="000000"/>
          <w:kern w:val="0"/>
          <w:szCs w:val="21"/>
          <w:lang w:bidi="ar"/>
        </w:rPr>
        <w:t xml:space="preserve"> 15 </w:t>
      </w:r>
      <w:r>
        <w:rPr>
          <w:rFonts w:hint="eastAsia" w:asciiTheme="minorEastAsia" w:hAnsiTheme="minorEastAsia" w:eastAsiaTheme="minorEastAsia" w:cstheme="minorEastAsia"/>
          <w:color w:val="000000"/>
          <w:kern w:val="0"/>
          <w:szCs w:val="21"/>
          <w:lang w:bidi="ar"/>
        </w:rPr>
        <w:t>倍（含）以上；</w:t>
      </w:r>
    </w:p>
    <w:p>
      <w:pPr>
        <w:widowControl/>
        <w:numPr>
          <w:ilvl w:val="0"/>
          <w:numId w:val="2"/>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肌酸激酶同工酶（</w:t>
      </w:r>
      <w:r>
        <w:rPr>
          <w:rFonts w:asciiTheme="minorEastAsia" w:hAnsiTheme="minorEastAsia" w:eastAsiaTheme="minorEastAsia" w:cstheme="minorEastAsia"/>
          <w:color w:val="000000"/>
          <w:kern w:val="0"/>
          <w:szCs w:val="21"/>
          <w:lang w:bidi="ar"/>
        </w:rPr>
        <w:t xml:space="preserve">CK-MB）升高，至少一次检测结果达到该检验正常参考值上限的 2 </w:t>
      </w:r>
      <w:r>
        <w:rPr>
          <w:rFonts w:hint="eastAsia" w:asciiTheme="minorEastAsia" w:hAnsiTheme="minorEastAsia" w:eastAsiaTheme="minorEastAsia" w:cstheme="minorEastAsia"/>
          <w:color w:val="000000"/>
          <w:kern w:val="0"/>
          <w:szCs w:val="21"/>
          <w:lang w:bidi="ar"/>
        </w:rPr>
        <w:t>倍（含）以上；</w:t>
      </w:r>
      <w:r>
        <w:rPr>
          <w:rFonts w:asciiTheme="minorEastAsia" w:hAnsiTheme="minorEastAsia" w:eastAsiaTheme="minorEastAsia" w:cstheme="minorEastAsia"/>
          <w:color w:val="000000"/>
          <w:kern w:val="0"/>
          <w:szCs w:val="21"/>
          <w:lang w:bidi="ar"/>
        </w:rPr>
        <w:t xml:space="preserve"> </w:t>
      </w:r>
    </w:p>
    <w:p>
      <w:pPr>
        <w:widowControl/>
        <w:numPr>
          <w:ilvl w:val="0"/>
          <w:numId w:val="2"/>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出现左心室收缩功能下降，在确诊</w:t>
      </w:r>
      <w:r>
        <w:rPr>
          <w:rFonts w:asciiTheme="minorEastAsia" w:hAnsiTheme="minorEastAsia" w:eastAsiaTheme="minorEastAsia" w:cstheme="minorEastAsia"/>
          <w:color w:val="000000"/>
          <w:kern w:val="0"/>
          <w:szCs w:val="21"/>
          <w:lang w:bidi="ar"/>
        </w:rPr>
        <w:t xml:space="preserve"> 6 周以后，检测左室射血分数（LVEF）低于 50%</w:t>
      </w:r>
      <w:r>
        <w:rPr>
          <w:rFonts w:asciiTheme="minorEastAsia" w:hAnsiTheme="minorEastAsia" w:eastAsiaTheme="minorEastAsia" w:cstheme="minorEastAsia"/>
          <w:b/>
          <w:bCs/>
          <w:color w:val="000000"/>
          <w:kern w:val="0"/>
          <w:szCs w:val="21"/>
          <w:lang w:bidi="ar"/>
        </w:rPr>
        <w:t>（不含）</w:t>
      </w:r>
      <w:r>
        <w:rPr>
          <w:rFonts w:asciiTheme="minorEastAsia" w:hAnsiTheme="minorEastAsia" w:eastAsiaTheme="minorEastAsia" w:cstheme="minorEastAsia"/>
          <w:color w:val="000000"/>
          <w:kern w:val="0"/>
          <w:szCs w:val="21"/>
          <w:lang w:bidi="ar"/>
        </w:rPr>
        <w:t xml:space="preserve">； </w:t>
      </w:r>
    </w:p>
    <w:p>
      <w:pPr>
        <w:widowControl/>
        <w:numPr>
          <w:ilvl w:val="0"/>
          <w:numId w:val="2"/>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影像学检查证实存在新发的乳头肌功能失调或断裂引起的中度（含）以上的二尖瓣反流；</w:t>
      </w:r>
    </w:p>
    <w:p>
      <w:pPr>
        <w:widowControl/>
        <w:numPr>
          <w:ilvl w:val="0"/>
          <w:numId w:val="2"/>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影像学检查证实存在新出现的室壁瘤；</w:t>
      </w:r>
      <w:r>
        <w:rPr>
          <w:rFonts w:asciiTheme="minorEastAsia" w:hAnsiTheme="minorEastAsia" w:eastAsiaTheme="minorEastAsia" w:cstheme="minorEastAsia"/>
          <w:color w:val="000000"/>
          <w:kern w:val="0"/>
          <w:szCs w:val="21"/>
          <w:lang w:bidi="ar"/>
        </w:rPr>
        <w:t xml:space="preserve"> </w:t>
      </w:r>
    </w:p>
    <w:p>
      <w:pPr>
        <w:widowControl/>
        <w:numPr>
          <w:ilvl w:val="0"/>
          <w:numId w:val="2"/>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出现室性心动过速、心室颤动或心源性休克。</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其他非冠状动脉阻塞性疾病所引起的肌钙蛋白（</w:t>
      </w:r>
      <w:r>
        <w:rPr>
          <w:rFonts w:asciiTheme="minorEastAsia" w:hAnsiTheme="minorEastAsia" w:eastAsiaTheme="minorEastAsia" w:cstheme="minorEastAsia"/>
          <w:b/>
          <w:color w:val="000000"/>
          <w:kern w:val="0"/>
          <w:szCs w:val="21"/>
          <w:lang w:bidi="ar"/>
        </w:rPr>
        <w:t>cTn</w:t>
      </w:r>
      <w:r>
        <w:rPr>
          <w:rFonts w:hint="eastAsia" w:asciiTheme="minorEastAsia" w:hAnsiTheme="minorEastAsia" w:eastAsiaTheme="minorEastAsia" w:cstheme="minorEastAsia"/>
          <w:b/>
          <w:color w:val="000000"/>
          <w:kern w:val="0"/>
          <w:szCs w:val="21"/>
          <w:lang w:bidi="ar"/>
        </w:rPr>
        <w:t>）升高不在保障范围内。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b/>
          <w:bCs/>
          <w:szCs w:val="21"/>
        </w:rPr>
        <w:t>严重脑中风后遗症</w:t>
      </w:r>
    </w:p>
    <w:p>
      <w:pPr>
        <w:widowControl/>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指因脑血管的突发病变引起脑血管出血、栓塞或梗塞，须由头颅断层扫描（</w:t>
      </w:r>
      <w:r>
        <w:rPr>
          <w:rFonts w:asciiTheme="minorEastAsia" w:hAnsiTheme="minorEastAsia" w:eastAsiaTheme="minorEastAsia" w:cstheme="minorEastAsia"/>
          <w:color w:val="000000"/>
          <w:kern w:val="0"/>
          <w:szCs w:val="21"/>
          <w:lang w:bidi="ar"/>
        </w:rPr>
        <w:t xml:space="preserve">CT）、核磁共振检查（MRI）等影像学检查证实，并导致神经系统永久性的功能障碍。神经系统永久性的功能障碍，指疾病确诊180 天后，仍遗留下列至少一种障碍： </w:t>
      </w:r>
    </w:p>
    <w:p>
      <w:pPr>
        <w:widowControl/>
        <w:numPr>
          <w:ilvl w:val="0"/>
          <w:numId w:val="3"/>
        </w:numPr>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一肢（含）以上</w:t>
      </w:r>
      <w:r>
        <w:rPr>
          <w:rFonts w:hint="eastAsia" w:asciiTheme="minorEastAsia" w:hAnsiTheme="minorEastAsia" w:eastAsiaTheme="minorEastAsia" w:cstheme="minorEastAsia"/>
          <w:b/>
          <w:color w:val="000000"/>
          <w:kern w:val="0"/>
          <w:szCs w:val="21"/>
          <w:lang w:bidi="ar"/>
        </w:rPr>
        <w:t>肢体肌力</w:t>
      </w:r>
      <w:r>
        <w:rPr>
          <w:rFonts w:asciiTheme="minorEastAsia" w:hAnsiTheme="minorEastAsia" w:eastAsiaTheme="minorEastAsia" w:cstheme="minorEastAsia"/>
          <w:b/>
          <w:color w:val="000000"/>
          <w:kern w:val="0"/>
          <w:szCs w:val="21"/>
          <w:lang w:bidi="ar"/>
        </w:rPr>
        <w:t xml:space="preserve"> </w:t>
      </w:r>
      <w:r>
        <w:rPr>
          <w:rFonts w:hint="eastAsia" w:asciiTheme="minorEastAsia" w:hAnsiTheme="minorEastAsia" w:eastAsiaTheme="minorEastAsia" w:cstheme="minorEastAsia"/>
          <w:b/>
          <w:bCs/>
          <w:color w:val="000000"/>
          <w:kern w:val="0"/>
          <w:szCs w:val="21"/>
          <w:lang w:bidi="ar"/>
        </w:rPr>
        <w:t>（见释义3</w:t>
      </w:r>
      <w:r>
        <w:rPr>
          <w:rFonts w:asciiTheme="minorEastAsia" w:hAnsiTheme="minorEastAsia" w:eastAsiaTheme="minorEastAsia" w:cstheme="minorEastAsia"/>
          <w:b/>
          <w:bCs/>
          <w:color w:val="000000"/>
          <w:kern w:val="0"/>
          <w:szCs w:val="21"/>
          <w:lang w:bidi="ar"/>
        </w:rPr>
        <w:t>5）</w:t>
      </w:r>
      <w:r>
        <w:rPr>
          <w:rFonts w:asciiTheme="minorEastAsia" w:hAnsiTheme="minorEastAsia" w:eastAsiaTheme="minorEastAsia" w:cstheme="minorEastAsia"/>
          <w:color w:val="000000"/>
          <w:kern w:val="0"/>
          <w:szCs w:val="21"/>
          <w:lang w:bidi="ar"/>
        </w:rPr>
        <w:t xml:space="preserve">2 </w:t>
      </w:r>
      <w:r>
        <w:rPr>
          <w:rFonts w:hint="eastAsia" w:asciiTheme="minorEastAsia" w:hAnsiTheme="minorEastAsia" w:eastAsiaTheme="minorEastAsia" w:cstheme="minorEastAsia"/>
          <w:color w:val="000000"/>
          <w:kern w:val="0"/>
          <w:szCs w:val="21"/>
          <w:lang w:bidi="ar"/>
        </w:rPr>
        <w:t>级（含）以下；</w:t>
      </w:r>
      <w:r>
        <w:rPr>
          <w:rFonts w:asciiTheme="minorEastAsia" w:hAnsiTheme="minorEastAsia" w:eastAsiaTheme="minorEastAsia" w:cstheme="minorEastAsia"/>
          <w:color w:val="000000"/>
          <w:kern w:val="0"/>
          <w:szCs w:val="21"/>
          <w:lang w:bidi="ar"/>
        </w:rPr>
        <w:t xml:space="preserve"> </w:t>
      </w:r>
    </w:p>
    <w:p>
      <w:pPr>
        <w:widowControl/>
        <w:numPr>
          <w:ilvl w:val="0"/>
          <w:numId w:val="3"/>
        </w:numPr>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语言能力完全丧失，或严重咀嚼吞咽功能障碍</w:t>
      </w:r>
      <w:r>
        <w:rPr>
          <w:rFonts w:hint="eastAsia" w:asciiTheme="minorEastAsia" w:hAnsiTheme="minorEastAsia" w:eastAsiaTheme="minorEastAsia" w:cstheme="minorEastAsia"/>
          <w:b/>
          <w:bCs/>
          <w:color w:val="000000"/>
          <w:kern w:val="0"/>
          <w:szCs w:val="21"/>
          <w:lang w:bidi="ar"/>
        </w:rPr>
        <w:t>（见释义3</w:t>
      </w:r>
      <w:r>
        <w:rPr>
          <w:rFonts w:asciiTheme="minorEastAsia" w:hAnsiTheme="minorEastAsia" w:eastAsiaTheme="minorEastAsia" w:cstheme="minorEastAsia"/>
          <w:b/>
          <w:bCs/>
          <w:color w:val="000000"/>
          <w:kern w:val="0"/>
          <w:szCs w:val="21"/>
          <w:lang w:bidi="ar"/>
        </w:rPr>
        <w:t>6）</w:t>
      </w: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 </w:t>
      </w:r>
    </w:p>
    <w:p>
      <w:pPr>
        <w:widowControl/>
        <w:numPr>
          <w:ilvl w:val="0"/>
          <w:numId w:val="3"/>
        </w:numPr>
        <w:spacing w:line="360" w:lineRule="auto"/>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color w:val="000000"/>
          <w:kern w:val="0"/>
          <w:szCs w:val="21"/>
          <w:lang w:bidi="ar"/>
        </w:rPr>
        <w:t>自主生活能力完全丧失，无法独立完成</w:t>
      </w:r>
      <w:r>
        <w:rPr>
          <w:rFonts w:hint="eastAsia" w:asciiTheme="minorEastAsia" w:hAnsiTheme="minorEastAsia" w:eastAsiaTheme="minorEastAsia" w:cstheme="minorEastAsia"/>
          <w:b/>
          <w:bCs/>
          <w:color w:val="000000"/>
          <w:kern w:val="0"/>
          <w:szCs w:val="21"/>
          <w:lang w:bidi="ar"/>
        </w:rPr>
        <w:t>六项基本日常生活活动（见释义3</w:t>
      </w:r>
      <w:r>
        <w:rPr>
          <w:rFonts w:asciiTheme="minorEastAsia" w:hAnsiTheme="minorEastAsia" w:eastAsiaTheme="minorEastAsia" w:cstheme="minorEastAsia"/>
          <w:b/>
          <w:bCs/>
          <w:color w:val="000000"/>
          <w:kern w:val="0"/>
          <w:szCs w:val="21"/>
          <w:lang w:bidi="ar"/>
        </w:rPr>
        <w:t>7）</w:t>
      </w:r>
      <w:r>
        <w:rPr>
          <w:rFonts w:hint="eastAsia" w:asciiTheme="minorEastAsia" w:hAnsiTheme="minorEastAsia" w:eastAsiaTheme="minorEastAsia" w:cstheme="minorEastAsia"/>
          <w:color w:val="000000"/>
          <w:kern w:val="0"/>
          <w:szCs w:val="21"/>
          <w:lang w:bidi="ar"/>
        </w:rPr>
        <w:t>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重大器官移植术或造血干细胞移植术</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 xml:space="preserve">重大器官移植术，指因相应器官功能衰竭，已经实施了肾脏、肝脏、心脏、肺脏或小肠的异体移植手术。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造血干细胞移植术，指因造血功能损害或造血系统恶性肿瘤，已经实施了造血干细胞（包括骨髓造血干细胞、外周血造血干细胞和脐血造血干细胞）的移植手术。</w:t>
      </w:r>
      <w:r>
        <w:rPr>
          <w:rFonts w:hint="eastAsia" w:cs="仿宋" w:asciiTheme="minorEastAsia" w:hAnsiTheme="minorEastAsia" w:eastAsiaTheme="minorEastAsia"/>
          <w:color w:val="000000"/>
          <w:kern w:val="0"/>
          <w:sz w:val="30"/>
          <w:szCs w:val="30"/>
          <w:lang w:bidi="ar"/>
        </w:rPr>
        <w:t xml:space="preserve"> </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冠状动脉搭桥术（或称冠状动脉旁路移植术）</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 xml:space="preserve">指为治疗严重的冠心病，已经实施了切开心包进行的冠状动脉血管旁路移植的手术。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所有未切开心包的冠状动脉介入治疗不在保障范围内。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严重慢性肾衰竭</w:t>
      </w:r>
    </w:p>
    <w:p>
      <w:pPr>
        <w:pStyle w:val="20"/>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指双肾功能慢性不可逆性衰竭，依据肾脏病预后质量倡议（K/DOQI）制定的指南，分期达到慢性肾脏病</w:t>
      </w:r>
      <w:r>
        <w:rPr>
          <w:rFonts w:asciiTheme="minorEastAsia" w:hAnsiTheme="minorEastAsia" w:eastAsiaTheme="minorEastAsia" w:cstheme="minorEastAsia"/>
          <w:color w:val="000000"/>
          <w:kern w:val="0"/>
          <w:szCs w:val="21"/>
          <w:lang w:bidi="ar"/>
        </w:rPr>
        <w:t xml:space="preserve"> 5 </w:t>
      </w:r>
      <w:r>
        <w:rPr>
          <w:rFonts w:hint="eastAsia" w:asciiTheme="minorEastAsia" w:hAnsiTheme="minorEastAsia" w:eastAsiaTheme="minorEastAsia" w:cstheme="minorEastAsia"/>
          <w:color w:val="000000"/>
          <w:kern w:val="0"/>
          <w:szCs w:val="21"/>
          <w:lang w:bidi="ar"/>
        </w:rPr>
        <w:t>期，且经诊断后已经进行了至少</w:t>
      </w:r>
      <w:r>
        <w:rPr>
          <w:rFonts w:asciiTheme="minorEastAsia" w:hAnsiTheme="minorEastAsia" w:eastAsiaTheme="minorEastAsia" w:cstheme="minorEastAsia"/>
          <w:color w:val="000000"/>
          <w:kern w:val="0"/>
          <w:szCs w:val="21"/>
          <w:lang w:bidi="ar"/>
        </w:rPr>
        <w:t xml:space="preserve"> 90 </w:t>
      </w:r>
      <w:r>
        <w:rPr>
          <w:rFonts w:hint="eastAsia" w:asciiTheme="minorEastAsia" w:hAnsiTheme="minorEastAsia" w:eastAsiaTheme="minorEastAsia" w:cstheme="minorEastAsia"/>
          <w:color w:val="000000"/>
          <w:kern w:val="0"/>
          <w:szCs w:val="21"/>
          <w:lang w:bidi="ar"/>
        </w:rPr>
        <w:t>天的规律性透析治疗。规律性透析是指每周进行血液透析或每天进行腹膜透析。</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多个肢体缺失</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指因疾病或意外伤害导致两个或两个以上肢体自腕关节或踝关节近端（靠近躯干端）以上完全性断离。</w:t>
      </w:r>
      <w:r>
        <w:rPr>
          <w:rFonts w:asciiTheme="minorEastAsia" w:hAnsiTheme="minorEastAsia" w:eastAsiaTheme="minorEastAsia" w:cstheme="minorEastAsia"/>
          <w:color w:val="000000"/>
          <w:kern w:val="0"/>
          <w:szCs w:val="21"/>
          <w:lang w:bidi="ar"/>
        </w:rPr>
        <w:t xml:space="preserve"> </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急性重症肝炎或亚急性重症肝炎</w:t>
      </w:r>
    </w:p>
    <w:p>
      <w:pPr>
        <w:widowControl/>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指因肝炎病毒感染引起肝脏组织弥漫性坏死，导致急性肝功能衰竭，且经血清学或病毒学检查证实，并须满足下列全部条件：</w:t>
      </w:r>
      <w:r>
        <w:rPr>
          <w:rFonts w:asciiTheme="minorEastAsia" w:hAnsiTheme="minorEastAsia" w:eastAsiaTheme="minorEastAsia" w:cstheme="minorEastAsia"/>
          <w:color w:val="000000"/>
          <w:kern w:val="0"/>
          <w:szCs w:val="21"/>
          <w:lang w:bidi="ar"/>
        </w:rPr>
        <w:t xml:space="preserve"> </w:t>
      </w:r>
    </w:p>
    <w:p>
      <w:pPr>
        <w:widowControl/>
        <w:numPr>
          <w:ilvl w:val="0"/>
          <w:numId w:val="4"/>
        </w:numPr>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重度黄疸或黄疸迅速加重；</w:t>
      </w:r>
      <w:r>
        <w:rPr>
          <w:rFonts w:asciiTheme="minorEastAsia" w:hAnsiTheme="minorEastAsia" w:eastAsiaTheme="minorEastAsia" w:cstheme="minorEastAsia"/>
          <w:color w:val="000000"/>
          <w:kern w:val="0"/>
          <w:szCs w:val="21"/>
          <w:lang w:bidi="ar"/>
        </w:rPr>
        <w:t xml:space="preserve"> </w:t>
      </w:r>
    </w:p>
    <w:p>
      <w:pPr>
        <w:widowControl/>
        <w:numPr>
          <w:ilvl w:val="0"/>
          <w:numId w:val="4"/>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肝性脑病；</w:t>
      </w:r>
      <w:r>
        <w:rPr>
          <w:rFonts w:asciiTheme="minorEastAsia" w:hAnsiTheme="minorEastAsia" w:eastAsiaTheme="minorEastAsia" w:cstheme="minorEastAsia"/>
          <w:color w:val="000000"/>
          <w:kern w:val="0"/>
          <w:szCs w:val="21"/>
          <w:lang w:bidi="ar"/>
        </w:rPr>
        <w:t xml:space="preserve"> </w:t>
      </w:r>
    </w:p>
    <w:p>
      <w:pPr>
        <w:widowControl/>
        <w:numPr>
          <w:ilvl w:val="0"/>
          <w:numId w:val="4"/>
        </w:numPr>
        <w:spacing w:line="36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B 超或其他影像学检查显示肝脏体积急速萎缩； </w:t>
      </w:r>
    </w:p>
    <w:p>
      <w:pPr>
        <w:widowControl/>
        <w:numPr>
          <w:ilvl w:val="0"/>
          <w:numId w:val="4"/>
        </w:numPr>
        <w:spacing w:line="360" w:lineRule="auto"/>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color w:val="000000"/>
          <w:kern w:val="0"/>
          <w:szCs w:val="21"/>
          <w:lang w:bidi="ar"/>
        </w:rPr>
        <w:t>肝功能指标进行性恶化。</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color w:val="000000"/>
          <w:kern w:val="0"/>
          <w:szCs w:val="21"/>
          <w:lang w:bidi="ar"/>
        </w:rPr>
        <w:t>严重非恶性颅内肿瘤</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指起源于脑、脑神经、脑被膜的非恶性肿瘤，</w:t>
      </w:r>
      <w:r>
        <w:rPr>
          <w:rFonts w:asciiTheme="minorEastAsia" w:hAnsiTheme="minorEastAsia" w:eastAsiaTheme="minorEastAsia" w:cstheme="minorEastAsia"/>
          <w:color w:val="000000"/>
          <w:kern w:val="0"/>
          <w:szCs w:val="21"/>
          <w:lang w:bidi="ar"/>
        </w:rPr>
        <w:t xml:space="preserve">ICD-O-3 肿瘤形态学编码属于 0（良性肿瘤）、1（动态未定性肿瘤）范畴，并已经引起颅内压升高或神经系统功能损害，出现视乳头水肿或视觉受损、听觉受损、面部或肢体瘫痪、癫痫等，须由头颅断层扫描（CT）、核磁共振检查（MRI）或正电子发射断层扫描（PET）等影像学检查证实，且须满足下列至少一项条件：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1）已经实施了开颅进行的颅内肿瘤完全或部分切除手术；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2）已经实施了针对颅内肿瘤的放射治疗，如γ刀、质子重离子治疗等。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下列疾病不在保障范围内：</w:t>
      </w:r>
      <w:r>
        <w:rPr>
          <w:rFonts w:asciiTheme="minorEastAsia" w:hAnsiTheme="minorEastAsia" w:eastAsiaTheme="minorEastAsia" w:cstheme="minorEastAsia"/>
          <w:b/>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1）脑垂体瘤；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 xml:space="preserve">2）脑囊肿； </w:t>
      </w:r>
    </w:p>
    <w:p>
      <w:pPr>
        <w:widowControl/>
        <w:spacing w:line="360" w:lineRule="auto"/>
        <w:ind w:firstLine="422"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w:t>
      </w:r>
      <w:r>
        <w:rPr>
          <w:rFonts w:asciiTheme="minorEastAsia" w:hAnsiTheme="minorEastAsia" w:eastAsiaTheme="minorEastAsia" w:cstheme="minorEastAsia"/>
          <w:b/>
          <w:color w:val="000000"/>
          <w:kern w:val="0"/>
          <w:szCs w:val="21"/>
          <w:lang w:bidi="ar"/>
        </w:rPr>
        <w:t>3）颅内血管性疾病（如脑动脉瘤、脑动静脉畸形、海绵状血管瘤、毛细血管扩张症等）。</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严重慢性肝衰竭</w:t>
      </w:r>
    </w:p>
    <w:p>
      <w:pPr>
        <w:widowControl/>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指因慢性肝脏疾病导致的肝衰竭，且须满足下列全部条件：</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1）持续性黄疸；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2）腹水；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3）肝性脑病；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4）充血性脾肿大伴脾功能亢进或食管胃底静脉曲张。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因酗酒（见释义3</w:t>
      </w:r>
      <w:r>
        <w:rPr>
          <w:rFonts w:asciiTheme="minorEastAsia" w:hAnsiTheme="minorEastAsia" w:eastAsiaTheme="minorEastAsia" w:cstheme="minorEastAsia"/>
          <w:b/>
          <w:color w:val="000000"/>
          <w:kern w:val="0"/>
          <w:szCs w:val="21"/>
          <w:lang w:bidi="ar"/>
        </w:rPr>
        <w:t>8）或药物滥用导致的肝衰竭不在保障范围内。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严重脑炎后遗症或严重脑膜炎后遗症</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指因患脑炎或脑膜炎导致的神经系统永久性的功能障碍。神经系统永久性的功能障碍，指经相关专科医生确诊疾病</w:t>
      </w:r>
      <w:r>
        <w:rPr>
          <w:rFonts w:asciiTheme="minorEastAsia" w:hAnsiTheme="minorEastAsia" w:eastAsiaTheme="minorEastAsia" w:cstheme="minorEastAsia"/>
          <w:color w:val="000000"/>
          <w:kern w:val="0"/>
          <w:szCs w:val="21"/>
          <w:lang w:bidi="ar"/>
        </w:rPr>
        <w:t xml:space="preserve"> 180 天后，仍遗留下列至少一种障碍：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1）</w:t>
      </w:r>
      <w:r>
        <w:rPr>
          <w:rFonts w:hint="eastAsia" w:asciiTheme="minorEastAsia" w:hAnsiTheme="minorEastAsia" w:eastAsiaTheme="minorEastAsia" w:cstheme="minorEastAsia"/>
          <w:color w:val="000000"/>
          <w:kern w:val="0"/>
          <w:szCs w:val="21"/>
          <w:lang w:bidi="ar"/>
        </w:rPr>
        <w:t>一肢（含）以上肢体肌力</w:t>
      </w:r>
      <w:r>
        <w:rPr>
          <w:rFonts w:asciiTheme="minorEastAsia" w:hAnsiTheme="minorEastAsia" w:eastAsiaTheme="minorEastAsia" w:cstheme="minorEastAsia"/>
          <w:color w:val="000000"/>
          <w:kern w:val="0"/>
          <w:szCs w:val="21"/>
          <w:lang w:bidi="ar"/>
        </w:rPr>
        <w:t xml:space="preserve"> 2 级（含）以下；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2）语言能力完全丧失，或严重咀嚼吞咽功能障碍；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3）由具有评估资格的专科医生根据临床痴呆评定量表（CDR，Clinical Dementia Rating）评估结果为 3 分；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4）自主生活能力完全丧失，无法独立完成六项基本日常生活活动中的三项或三项以上。 </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深度昏迷</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指因疾病或意外伤害导致意识丧失，对外界刺激和体内需求均无反应，昏迷程度按照格拉斯哥昏迷分级（</w:t>
      </w:r>
      <w:r>
        <w:rPr>
          <w:rFonts w:asciiTheme="minorEastAsia" w:hAnsiTheme="minorEastAsia" w:eastAsiaTheme="minorEastAsia" w:cstheme="minorEastAsia"/>
          <w:color w:val="000000"/>
          <w:kern w:val="0"/>
          <w:szCs w:val="21"/>
          <w:lang w:bidi="ar"/>
        </w:rPr>
        <w:t xml:space="preserve">GCS，Glasgow Coma Scale）结果为 5 分或 5 分以下，且已经持续使用呼吸机及其他生命维持系统96 小时以上。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因酗酒或药物滥用导致的深度昏迷不在保障范围内。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双耳失聪</w:t>
      </w:r>
      <w:r>
        <w:rPr>
          <w:rFonts w:asciiTheme="minorEastAsia" w:hAnsiTheme="minorEastAsia" w:eastAsiaTheme="minorEastAsia" w:cstheme="minorEastAsia"/>
          <w:b/>
          <w:bCs/>
          <w:szCs w:val="21"/>
        </w:rPr>
        <w:t>-3周岁始理赔</w:t>
      </w:r>
    </w:p>
    <w:p>
      <w:pPr>
        <w:pStyle w:val="20"/>
        <w:autoSpaceDE w:val="0"/>
        <w:autoSpaceDN w:val="0"/>
        <w:adjustRightInd w:val="0"/>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color w:val="000000"/>
          <w:kern w:val="0"/>
          <w:szCs w:val="21"/>
          <w:lang w:bidi="ar"/>
        </w:rPr>
        <w:t>指因疾病或意外伤害导致双耳听力</w:t>
      </w:r>
      <w:r>
        <w:rPr>
          <w:rFonts w:hint="eastAsia" w:asciiTheme="minorEastAsia" w:hAnsiTheme="minorEastAsia" w:eastAsiaTheme="minorEastAsia" w:cstheme="minorEastAsia"/>
          <w:b/>
          <w:color w:val="000000"/>
          <w:kern w:val="0"/>
          <w:szCs w:val="21"/>
          <w:lang w:bidi="ar"/>
        </w:rPr>
        <w:t>永久不可逆（见释义</w:t>
      </w:r>
      <w:r>
        <w:rPr>
          <w:rFonts w:asciiTheme="minorEastAsia" w:hAnsiTheme="minorEastAsia" w:eastAsiaTheme="minorEastAsia" w:cstheme="minorEastAsia"/>
          <w:b/>
          <w:color w:val="000000"/>
          <w:kern w:val="0"/>
          <w:szCs w:val="21"/>
          <w:lang w:bidi="ar"/>
        </w:rPr>
        <w:t>39</w:t>
      </w:r>
      <w:r>
        <w:rPr>
          <w:rFonts w:hint="eastAsia" w:asciiTheme="minorEastAsia" w:hAnsiTheme="minorEastAsia" w:eastAsiaTheme="minorEastAsia" w:cstheme="minorEastAsia"/>
          <w:b/>
          <w:color w:val="000000"/>
          <w:kern w:val="0"/>
          <w:szCs w:val="21"/>
          <w:lang w:bidi="ar"/>
        </w:rPr>
        <w:t>）</w:t>
      </w:r>
      <w:r>
        <w:rPr>
          <w:rFonts w:hint="eastAsia" w:asciiTheme="minorEastAsia" w:hAnsiTheme="minorEastAsia" w:eastAsiaTheme="minorEastAsia" w:cstheme="minorEastAsia"/>
          <w:color w:val="000000"/>
          <w:kern w:val="0"/>
          <w:szCs w:val="21"/>
          <w:lang w:bidi="ar"/>
        </w:rPr>
        <w:t>性丧失，在</w:t>
      </w:r>
      <w:r>
        <w:rPr>
          <w:rFonts w:asciiTheme="minorEastAsia" w:hAnsiTheme="minorEastAsia" w:eastAsiaTheme="minorEastAsia" w:cstheme="minorEastAsia"/>
          <w:color w:val="000000"/>
          <w:kern w:val="0"/>
          <w:szCs w:val="21"/>
          <w:lang w:bidi="ar"/>
        </w:rPr>
        <w:t>500</w:t>
      </w:r>
      <w:r>
        <w:rPr>
          <w:rFonts w:hint="eastAsia" w:asciiTheme="minorEastAsia" w:hAnsiTheme="minorEastAsia" w:eastAsiaTheme="minorEastAsia" w:cstheme="minorEastAsia"/>
          <w:color w:val="000000"/>
          <w:kern w:val="0"/>
          <w:szCs w:val="21"/>
          <w:lang w:bidi="ar"/>
        </w:rPr>
        <w:t>赫</w:t>
      </w:r>
      <w:r>
        <w:rPr>
          <w:rFonts w:asciiTheme="minorEastAsia" w:hAnsiTheme="minorEastAsia" w:eastAsiaTheme="minorEastAsia" w:cstheme="minorEastAsia"/>
          <w:color w:val="000000"/>
          <w:kern w:val="0"/>
          <w:szCs w:val="21"/>
          <w:lang w:bidi="ar"/>
        </w:rPr>
        <w:t>兹、1000</w:t>
      </w:r>
      <w:r>
        <w:rPr>
          <w:rFonts w:hint="eastAsia" w:asciiTheme="minorEastAsia" w:hAnsiTheme="minorEastAsia" w:eastAsiaTheme="minorEastAsia" w:cstheme="minorEastAsia"/>
          <w:color w:val="000000"/>
          <w:kern w:val="0"/>
          <w:szCs w:val="21"/>
          <w:lang w:bidi="ar"/>
        </w:rPr>
        <w:t>赫兹和</w:t>
      </w:r>
      <w:r>
        <w:rPr>
          <w:rFonts w:asciiTheme="minorEastAsia" w:hAnsiTheme="minorEastAsia" w:eastAsiaTheme="minorEastAsia" w:cstheme="minorEastAsia"/>
          <w:color w:val="000000"/>
          <w:kern w:val="0"/>
          <w:szCs w:val="21"/>
          <w:lang w:bidi="ar"/>
        </w:rPr>
        <w:t xml:space="preserve"> 2000 赫兹语音频率下，平均听阈大于等于 91 分贝，且经纯音听力测试、声导抗检测或听觉诱发电位检测等证实。</w:t>
      </w:r>
    </w:p>
    <w:p>
      <w:pPr>
        <w:pStyle w:val="20"/>
        <w:autoSpaceDE w:val="0"/>
        <w:autoSpaceDN w:val="0"/>
        <w:adjustRightInd w:val="0"/>
        <w:snapToGrid w:val="0"/>
        <w:spacing w:line="360" w:lineRule="auto"/>
        <w:ind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本保险合同仅对被保险人3周岁以后出现症状的情况承担保险责任</w:t>
      </w:r>
      <w:r>
        <w:rPr>
          <w:rFonts w:asciiTheme="minorEastAsia" w:hAnsiTheme="minorEastAsia" w:eastAsiaTheme="minorEastAsia" w:cstheme="minorEastAsia"/>
          <w:b/>
          <w:kern w:val="0"/>
          <w:szCs w:val="21"/>
        </w:rPr>
        <w:t>。</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双目失明</w:t>
      </w:r>
      <w:r>
        <w:rPr>
          <w:rFonts w:asciiTheme="minorEastAsia" w:hAnsiTheme="minorEastAsia" w:eastAsiaTheme="minorEastAsia" w:cstheme="minorEastAsia"/>
          <w:b/>
          <w:bCs/>
          <w:szCs w:val="21"/>
        </w:rPr>
        <w:t>-3周岁始理赔</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指因疾病或意外伤害导致双眼视力永久不可逆性丧失，双眼中较好眼须满足下列至少一项条件：</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1）眼球缺失或摘除；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2）矫正视力低于 0.02（采用国际标准视力表，如果使用其他视力表应进行换算）；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3）视野半径小于 5 </w:t>
      </w:r>
      <w:r>
        <w:rPr>
          <w:rFonts w:hint="eastAsia" w:asciiTheme="minorEastAsia" w:hAnsiTheme="minorEastAsia" w:eastAsiaTheme="minorEastAsia" w:cstheme="minorEastAsia"/>
          <w:color w:val="000000"/>
          <w:kern w:val="0"/>
          <w:szCs w:val="21"/>
          <w:lang w:bidi="ar"/>
        </w:rPr>
        <w:t>度。</w:t>
      </w:r>
    </w:p>
    <w:p>
      <w:pPr>
        <w:pStyle w:val="20"/>
        <w:autoSpaceDE w:val="0"/>
        <w:autoSpaceDN w:val="0"/>
        <w:adjustRightInd w:val="0"/>
        <w:snapToGrid w:val="0"/>
        <w:spacing w:line="360" w:lineRule="auto"/>
        <w:ind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被保险人申请理赔时年龄必须在</w:t>
      </w:r>
      <w:r>
        <w:rPr>
          <w:rFonts w:asciiTheme="minorEastAsia" w:hAnsiTheme="minorEastAsia" w:eastAsiaTheme="minorEastAsia" w:cstheme="minorEastAsia"/>
          <w:b/>
          <w:kern w:val="0"/>
          <w:szCs w:val="21"/>
        </w:rPr>
        <w:t>3周岁以上，并且提供理赔当时的双目失明诊断及检查证据。</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瘫痪</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指因疾病或意外伤害导致两肢或两肢以上肢体随意运动功能永久</w:t>
      </w:r>
      <w:r>
        <w:rPr>
          <w:rFonts w:asciiTheme="minorEastAsia" w:hAnsiTheme="minorEastAsia" w:eastAsiaTheme="minorEastAsia" w:cstheme="minorEastAsia"/>
          <w:color w:val="000000"/>
          <w:kern w:val="0"/>
          <w:szCs w:val="21"/>
          <w:lang w:bidi="ar"/>
        </w:rPr>
        <w:t xml:space="preserve"> </w:t>
      </w:r>
      <w:r>
        <w:rPr>
          <w:rFonts w:hint="eastAsia" w:asciiTheme="minorEastAsia" w:hAnsiTheme="minorEastAsia" w:eastAsiaTheme="minorEastAsia" w:cstheme="minorEastAsia"/>
          <w:color w:val="000000"/>
          <w:kern w:val="0"/>
          <w:szCs w:val="21"/>
          <w:lang w:bidi="ar"/>
        </w:rPr>
        <w:t>完全丧失。肢体随意运动功能永久完全丧失，指疾病确诊</w:t>
      </w:r>
      <w:r>
        <w:rPr>
          <w:rFonts w:asciiTheme="minorEastAsia" w:hAnsiTheme="minorEastAsia" w:eastAsiaTheme="minorEastAsia" w:cstheme="minorEastAsia"/>
          <w:color w:val="000000"/>
          <w:kern w:val="0"/>
          <w:szCs w:val="21"/>
          <w:lang w:bidi="ar"/>
        </w:rPr>
        <w:t xml:space="preserve"> 180 </w:t>
      </w:r>
      <w:r>
        <w:rPr>
          <w:rFonts w:hint="eastAsia" w:asciiTheme="minorEastAsia" w:hAnsiTheme="minorEastAsia" w:eastAsiaTheme="minorEastAsia" w:cstheme="minorEastAsia"/>
          <w:color w:val="000000"/>
          <w:kern w:val="0"/>
          <w:szCs w:val="21"/>
          <w:lang w:bidi="ar"/>
        </w:rPr>
        <w:t>天后或</w:t>
      </w:r>
      <w:r>
        <w:rPr>
          <w:rFonts w:asciiTheme="minorEastAsia" w:hAnsiTheme="minorEastAsia" w:eastAsiaTheme="minorEastAsia" w:cstheme="minorEastAsia"/>
          <w:color w:val="000000"/>
          <w:kern w:val="0"/>
          <w:szCs w:val="21"/>
          <w:lang w:bidi="ar"/>
        </w:rPr>
        <w:t xml:space="preserve"> </w:t>
      </w:r>
      <w:r>
        <w:rPr>
          <w:rFonts w:hint="eastAsia" w:asciiTheme="minorEastAsia" w:hAnsiTheme="minorEastAsia" w:eastAsiaTheme="minorEastAsia" w:cstheme="minorEastAsia"/>
          <w:color w:val="000000"/>
          <w:kern w:val="0"/>
          <w:szCs w:val="21"/>
          <w:lang w:bidi="ar"/>
        </w:rPr>
        <w:t>意外伤害发生</w:t>
      </w:r>
      <w:r>
        <w:rPr>
          <w:rFonts w:asciiTheme="minorEastAsia" w:hAnsiTheme="minorEastAsia" w:eastAsiaTheme="minorEastAsia" w:cstheme="minorEastAsia"/>
          <w:color w:val="000000"/>
          <w:kern w:val="0"/>
          <w:szCs w:val="21"/>
          <w:lang w:bidi="ar"/>
        </w:rPr>
        <w:t xml:space="preserve"> 180 </w:t>
      </w:r>
      <w:r>
        <w:rPr>
          <w:rFonts w:hint="eastAsia" w:asciiTheme="minorEastAsia" w:hAnsiTheme="minorEastAsia" w:eastAsiaTheme="minorEastAsia" w:cstheme="minorEastAsia"/>
          <w:color w:val="000000"/>
          <w:kern w:val="0"/>
          <w:szCs w:val="21"/>
          <w:lang w:bidi="ar"/>
        </w:rPr>
        <w:t>天后，每肢三大关节中的两大关节仍然完全僵硬，</w:t>
      </w:r>
      <w:r>
        <w:rPr>
          <w:rFonts w:asciiTheme="minorEastAsia" w:hAnsiTheme="minorEastAsia" w:eastAsiaTheme="minorEastAsia" w:cstheme="minorEastAsia"/>
          <w:color w:val="000000"/>
          <w:kern w:val="0"/>
          <w:szCs w:val="21"/>
          <w:lang w:bidi="ar"/>
        </w:rPr>
        <w:t xml:space="preserve"> 或肢体肌力在 2 级（含）以下。 </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心脏瓣膜手术</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指为治疗心脏瓣膜疾病，已经实施了切开心脏进行的心脏瓣膜置</w:t>
      </w:r>
      <w:r>
        <w:rPr>
          <w:rFonts w:asciiTheme="minorEastAsia" w:hAnsiTheme="minorEastAsia" w:eastAsiaTheme="minorEastAsia" w:cstheme="minorEastAsia"/>
          <w:color w:val="000000"/>
          <w:kern w:val="0"/>
          <w:szCs w:val="21"/>
          <w:lang w:bidi="ar"/>
        </w:rPr>
        <w:t xml:space="preserve"> </w:t>
      </w:r>
      <w:r>
        <w:rPr>
          <w:rFonts w:hint="eastAsia" w:asciiTheme="minorEastAsia" w:hAnsiTheme="minorEastAsia" w:eastAsiaTheme="minorEastAsia" w:cstheme="minorEastAsia"/>
          <w:color w:val="000000"/>
          <w:kern w:val="0"/>
          <w:szCs w:val="21"/>
          <w:lang w:bidi="ar"/>
        </w:rPr>
        <w:t>换或修复的手术。</w:t>
      </w:r>
    </w:p>
    <w:p>
      <w:pPr>
        <w:pStyle w:val="20"/>
        <w:autoSpaceDE w:val="0"/>
        <w:autoSpaceDN w:val="0"/>
        <w:adjustRightInd w:val="0"/>
        <w:snapToGrid w:val="0"/>
        <w:spacing w:line="360" w:lineRule="auto"/>
        <w:ind w:firstLine="422"/>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b/>
          <w:color w:val="000000"/>
          <w:kern w:val="0"/>
          <w:szCs w:val="21"/>
          <w:lang w:bidi="ar"/>
        </w:rPr>
        <w:t>所有未切开心脏的心脏瓣膜介入手术不在保障范围内。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严重阿尔茨海默病</w:t>
      </w:r>
    </w:p>
    <w:p>
      <w:pPr>
        <w:widowControl/>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指因大脑进行性、不可逆性改变导致智能严重衰退或丧失，临床表现为严重的认知功能障碍、精神行为异常和社交能力减退等，其日常生活必须持续受到他人监护。须由头颅断层扫描（</w:t>
      </w:r>
      <w:r>
        <w:rPr>
          <w:rFonts w:asciiTheme="minorEastAsia" w:hAnsiTheme="minorEastAsia" w:eastAsiaTheme="minorEastAsia" w:cstheme="minorEastAsia"/>
          <w:color w:val="000000"/>
          <w:kern w:val="0"/>
          <w:szCs w:val="21"/>
          <w:lang w:bidi="ar"/>
        </w:rPr>
        <w:t xml:space="preserve">CT）、核磁共振检查（MRI）或正电子发射断层扫描（PET）等影像学检查证实，并经相关专科医生确诊，且须满足下列至少一项条件： </w:t>
      </w:r>
    </w:p>
    <w:p>
      <w:pPr>
        <w:widowControl/>
        <w:numPr>
          <w:ilvl w:val="0"/>
          <w:numId w:val="5"/>
        </w:numPr>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由具有评估资格的专科医生根据临床痴呆评定量表（</w:t>
      </w:r>
      <w:r>
        <w:rPr>
          <w:rFonts w:asciiTheme="minorEastAsia" w:hAnsiTheme="minorEastAsia" w:eastAsiaTheme="minorEastAsia" w:cstheme="minorEastAsia"/>
          <w:color w:val="000000"/>
          <w:kern w:val="0"/>
          <w:szCs w:val="21"/>
          <w:lang w:bidi="ar"/>
        </w:rPr>
        <w:t xml:space="preserve">CDR，Clinical Dementia Rating）评估结果为 3 分； </w:t>
      </w:r>
    </w:p>
    <w:p>
      <w:pPr>
        <w:widowControl/>
        <w:numPr>
          <w:ilvl w:val="0"/>
          <w:numId w:val="5"/>
        </w:num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自主生活能力完全丧失，无法独立完成六项基本日常生活活动中的三项或三项以上。</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color w:val="000000"/>
          <w:kern w:val="0"/>
          <w:szCs w:val="21"/>
          <w:lang w:bidi="ar"/>
        </w:rPr>
        <w:t>阿尔茨海默病之外的其他类型痴呆不在保障范围内。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b/>
        </w:rPr>
      </w:pPr>
      <w:r>
        <w:rPr>
          <w:rFonts w:hint="eastAsia" w:asciiTheme="minorEastAsia" w:hAnsiTheme="minorEastAsia" w:eastAsiaTheme="minorEastAsia" w:cstheme="minorEastAsia"/>
          <w:b/>
          <w:bCs/>
          <w:szCs w:val="21"/>
        </w:rPr>
        <w:t>严重脑损伤</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指因头部遭受机械性外力，引起脑重要部位损伤，导致神经系统永久性的功能障碍。须由头颅断层扫描（</w:t>
      </w:r>
      <w:r>
        <w:rPr>
          <w:rFonts w:asciiTheme="minorEastAsia" w:hAnsiTheme="minorEastAsia" w:eastAsiaTheme="minorEastAsia" w:cstheme="minorEastAsia"/>
          <w:color w:val="000000"/>
          <w:kern w:val="0"/>
          <w:szCs w:val="21"/>
          <w:lang w:bidi="ar"/>
        </w:rPr>
        <w:t xml:space="preserve">CT）、核磁共振检查（MRI）或正电子发射断层扫描（PET）等影像学检查证实。神经系统永久性的功能障碍，指脑损伤 180 天后，仍遗留下列至少一种障碍： </w:t>
      </w:r>
    </w:p>
    <w:p>
      <w:pPr>
        <w:pStyle w:val="20"/>
        <w:numPr>
          <w:ilvl w:val="0"/>
          <w:numId w:val="6"/>
        </w:numPr>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一肢（含）以上肢体肌力</w:t>
      </w:r>
      <w:r>
        <w:rPr>
          <w:rFonts w:asciiTheme="minorEastAsia" w:hAnsiTheme="minorEastAsia" w:eastAsiaTheme="minorEastAsia" w:cstheme="minorEastAsia"/>
          <w:color w:val="000000"/>
          <w:kern w:val="0"/>
          <w:szCs w:val="21"/>
          <w:lang w:bidi="ar"/>
        </w:rPr>
        <w:t xml:space="preserve"> 2 级（含）以下； </w:t>
      </w:r>
    </w:p>
    <w:p>
      <w:pPr>
        <w:pStyle w:val="20"/>
        <w:numPr>
          <w:ilvl w:val="0"/>
          <w:numId w:val="6"/>
        </w:numPr>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语言能力完全丧失，或严重咀嚼吞咽功能障碍；</w:t>
      </w:r>
      <w:r>
        <w:rPr>
          <w:rFonts w:asciiTheme="minorEastAsia" w:hAnsiTheme="minorEastAsia" w:eastAsiaTheme="minorEastAsia" w:cstheme="minorEastAsia"/>
          <w:color w:val="000000"/>
          <w:kern w:val="0"/>
          <w:szCs w:val="21"/>
          <w:lang w:bidi="ar"/>
        </w:rPr>
        <w:t xml:space="preserve"> </w:t>
      </w:r>
    </w:p>
    <w:p>
      <w:pPr>
        <w:pStyle w:val="20"/>
        <w:numPr>
          <w:ilvl w:val="0"/>
          <w:numId w:val="6"/>
        </w:numPr>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自主生活能力完全丧失，无法独立完成六项基本日常生活活动中的三项或三项以上。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严重原发性帕金森病</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是一种中枢神经系统的退行性疾病，临床表现为运动迟缓、静止性震颤或肌强直等，经相关专科医生确诊，且须满足自主生活能力完全丧失，无法独立完成六项基本日常生活活动中的三项或三项以上。</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color w:val="000000"/>
          <w:kern w:val="0"/>
          <w:szCs w:val="21"/>
          <w:lang w:bidi="ar"/>
        </w:rPr>
        <w:t>继发性帕金森综合征、帕金森叠加综合征不在保障范围内。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严重</w:t>
      </w:r>
      <w:r>
        <w:rPr>
          <w:rFonts w:hint="eastAsia" w:asciiTheme="minorEastAsia" w:hAnsiTheme="minorEastAsia" w:eastAsiaTheme="minorEastAsia" w:cstheme="minorEastAsia"/>
          <w:b/>
          <w:bCs/>
          <w:szCs w:val="21"/>
          <w:lang w:val="zh-CN"/>
        </w:rPr>
        <w:t>Ⅲ</w:t>
      </w:r>
      <w:r>
        <w:rPr>
          <w:rFonts w:hint="eastAsia" w:asciiTheme="minorEastAsia" w:hAnsiTheme="minorEastAsia" w:eastAsiaTheme="minorEastAsia" w:cstheme="minorEastAsia"/>
          <w:b/>
          <w:bCs/>
          <w:szCs w:val="21"/>
        </w:rPr>
        <w:t>度烧伤</w:t>
      </w:r>
    </w:p>
    <w:p>
      <w:pPr>
        <w:pStyle w:val="20"/>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指烧伤程度为Ⅲ度，且Ⅲ度烧伤的面积达到全身体表面积的</w:t>
      </w:r>
      <w:r>
        <w:rPr>
          <w:rFonts w:asciiTheme="minorEastAsia" w:hAnsiTheme="minorEastAsia" w:eastAsiaTheme="minorEastAsia" w:cstheme="minorEastAsia"/>
          <w:color w:val="000000"/>
          <w:kern w:val="0"/>
          <w:szCs w:val="21"/>
          <w:lang w:bidi="ar"/>
        </w:rPr>
        <w:t xml:space="preserve"> 20％或 20％以上。体表面积根据《中国新九分法》计算。</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严重特发性肺动脉高压</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指不明原因的肺动脉压力持续性增高，进行性发展而导致的慢性疾病，已经造成永久不可逆性的体力活动能力受限，达到</w:t>
      </w:r>
      <w:r>
        <w:rPr>
          <w:rFonts w:hint="eastAsia" w:asciiTheme="minorEastAsia" w:hAnsiTheme="minorEastAsia" w:eastAsiaTheme="minorEastAsia" w:cstheme="minorEastAsia"/>
          <w:b/>
          <w:color w:val="000000"/>
          <w:kern w:val="0"/>
          <w:szCs w:val="21"/>
          <w:lang w:bidi="ar"/>
        </w:rPr>
        <w:t>美国纽约心脏病学会（</w:t>
      </w:r>
      <w:r>
        <w:rPr>
          <w:rFonts w:asciiTheme="minorEastAsia" w:hAnsiTheme="minorEastAsia" w:eastAsiaTheme="minorEastAsia" w:cstheme="minorEastAsia"/>
          <w:b/>
          <w:color w:val="000000"/>
          <w:kern w:val="0"/>
          <w:szCs w:val="21"/>
          <w:lang w:bidi="ar"/>
        </w:rPr>
        <w:t xml:space="preserve">New York Heart Association，NYHA）心功能状态分级 </w:t>
      </w:r>
      <w:r>
        <w:rPr>
          <w:rFonts w:hint="eastAsia" w:asciiTheme="minorEastAsia" w:hAnsiTheme="minorEastAsia" w:eastAsiaTheme="minorEastAsia" w:cstheme="minorEastAsia"/>
          <w:b/>
          <w:bCs/>
          <w:color w:val="000000"/>
          <w:kern w:val="0"/>
          <w:szCs w:val="21"/>
          <w:lang w:bidi="ar"/>
        </w:rPr>
        <w:t>（见释义4</w:t>
      </w:r>
      <w:r>
        <w:rPr>
          <w:rFonts w:asciiTheme="minorEastAsia" w:hAnsiTheme="minorEastAsia" w:eastAsiaTheme="minorEastAsia" w:cstheme="minorEastAsia"/>
          <w:b/>
          <w:bCs/>
          <w:color w:val="000000"/>
          <w:kern w:val="0"/>
          <w:szCs w:val="21"/>
          <w:lang w:bidi="ar"/>
        </w:rPr>
        <w:t>0）</w:t>
      </w:r>
      <w:r>
        <w:rPr>
          <w:rFonts w:asciiTheme="minorEastAsia" w:hAnsiTheme="minorEastAsia" w:eastAsiaTheme="minorEastAsia" w:cstheme="minorEastAsia"/>
          <w:color w:val="000000"/>
          <w:kern w:val="0"/>
          <w:szCs w:val="21"/>
          <w:lang w:bidi="ar"/>
        </w:rPr>
        <w:t>IV级，且静息状态下肺动脉平均压在 36mmHg（含）以上。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严重运动神经元病</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是一组中枢神经系统运动神经元的进行性变性疾病，包括进行性脊肌萎缩症、进行性延髓麻痹症、原发性侧索硬化症、肌萎缩性侧索硬化症</w:t>
      </w:r>
      <w:r>
        <w:rPr>
          <w:rFonts w:asciiTheme="minorEastAsia" w:hAnsiTheme="minorEastAsia" w:eastAsiaTheme="minorEastAsia" w:cstheme="minorEastAsia"/>
          <w:color w:val="000000"/>
          <w:kern w:val="0"/>
          <w:szCs w:val="21"/>
          <w:lang w:bidi="ar"/>
        </w:rPr>
        <w:t xml:space="preserve">,经相关专科医生确诊，且须满足下列至少一项条件： </w:t>
      </w:r>
    </w:p>
    <w:p>
      <w:pPr>
        <w:pStyle w:val="20"/>
        <w:numPr>
          <w:ilvl w:val="0"/>
          <w:numId w:val="7"/>
        </w:numPr>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严重咀嚼吞咽功能障碍；</w:t>
      </w:r>
      <w:r>
        <w:rPr>
          <w:rFonts w:asciiTheme="minorEastAsia" w:hAnsiTheme="minorEastAsia" w:eastAsiaTheme="minorEastAsia" w:cstheme="minorEastAsia"/>
          <w:color w:val="000000"/>
          <w:kern w:val="0"/>
          <w:szCs w:val="21"/>
          <w:lang w:bidi="ar"/>
        </w:rPr>
        <w:t xml:space="preserve"> </w:t>
      </w:r>
    </w:p>
    <w:p>
      <w:pPr>
        <w:pStyle w:val="20"/>
        <w:numPr>
          <w:ilvl w:val="0"/>
          <w:numId w:val="7"/>
        </w:numPr>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呼吸肌麻痹导致严重呼吸困难，且已经持续使用呼吸机</w:t>
      </w:r>
      <w:r>
        <w:rPr>
          <w:rFonts w:asciiTheme="minorEastAsia" w:hAnsiTheme="minorEastAsia" w:eastAsiaTheme="minorEastAsia" w:cstheme="minorEastAsia"/>
          <w:color w:val="000000"/>
          <w:kern w:val="0"/>
          <w:szCs w:val="21"/>
          <w:lang w:bidi="ar"/>
        </w:rPr>
        <w:t xml:space="preserve"> 7天（含）以上；</w:t>
      </w:r>
    </w:p>
    <w:p>
      <w:pPr>
        <w:pStyle w:val="20"/>
        <w:numPr>
          <w:ilvl w:val="0"/>
          <w:numId w:val="7"/>
        </w:numPr>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自主生活能力完全丧失，无法独立完成六项基本日常生活活动中的三项或三项以上。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语言能力丧失</w:t>
      </w:r>
      <w:r>
        <w:rPr>
          <w:rFonts w:asciiTheme="minorEastAsia" w:hAnsiTheme="minorEastAsia" w:eastAsiaTheme="minorEastAsia" w:cstheme="minorEastAsia"/>
          <w:b/>
          <w:bCs/>
          <w:szCs w:val="21"/>
        </w:rPr>
        <w:t>-3周岁始理赔</w:t>
      </w:r>
    </w:p>
    <w:p>
      <w:pPr>
        <w:widowControl/>
        <w:spacing w:line="360" w:lineRule="auto"/>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指因疾病或意外伤害导致语言能力完全丧失，经过积极治疗至少</w:t>
      </w:r>
      <w:r>
        <w:rPr>
          <w:rFonts w:asciiTheme="minorEastAsia" w:hAnsiTheme="minorEastAsia" w:eastAsiaTheme="minorEastAsia" w:cstheme="minorEastAsia"/>
          <w:color w:val="000000"/>
          <w:kern w:val="0"/>
          <w:szCs w:val="21"/>
          <w:lang w:bidi="ar"/>
        </w:rPr>
        <w:t xml:space="preserve"> 12 </w:t>
      </w:r>
      <w:r>
        <w:rPr>
          <w:rFonts w:hint="eastAsia" w:asciiTheme="minorEastAsia" w:hAnsiTheme="minorEastAsia" w:eastAsiaTheme="minorEastAsia" w:cstheme="minorEastAsia"/>
          <w:color w:val="000000"/>
          <w:kern w:val="0"/>
          <w:szCs w:val="21"/>
          <w:lang w:bidi="ar"/>
        </w:rPr>
        <w:t>个月（声带完全切除不受此时间限制），仍无法通过现有医疗手段</w:t>
      </w:r>
      <w:r>
        <w:rPr>
          <w:rFonts w:asciiTheme="minorEastAsia" w:hAnsiTheme="minorEastAsia" w:eastAsiaTheme="minorEastAsia" w:cstheme="minorEastAsia"/>
          <w:color w:val="000000"/>
          <w:kern w:val="0"/>
          <w:szCs w:val="21"/>
          <w:lang w:bidi="ar"/>
        </w:rPr>
        <w:t xml:space="preserve">恢复。 </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color w:val="000000"/>
          <w:kern w:val="0"/>
          <w:szCs w:val="21"/>
          <w:lang w:bidi="ar"/>
        </w:rPr>
        <w:t>精神心理因素所致的语言能力丧失不在保障范围内。</w:t>
      </w:r>
    </w:p>
    <w:p>
      <w:pPr>
        <w:pStyle w:val="20"/>
        <w:autoSpaceDE w:val="0"/>
        <w:autoSpaceDN w:val="0"/>
        <w:adjustRightInd w:val="0"/>
        <w:snapToGrid w:val="0"/>
        <w:spacing w:line="360" w:lineRule="auto"/>
        <w:ind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kern w:val="0"/>
          <w:szCs w:val="21"/>
        </w:rPr>
        <w:t>被保险人申请理赔时年龄必须在</w:t>
      </w:r>
      <w:r>
        <w:rPr>
          <w:rFonts w:asciiTheme="minorEastAsia" w:hAnsiTheme="minorEastAsia" w:eastAsiaTheme="minorEastAsia" w:cstheme="minorEastAsia"/>
          <w:b/>
          <w:kern w:val="0"/>
          <w:szCs w:val="21"/>
        </w:rPr>
        <w:t>3周岁以上，并且提供理赔当时的语言能力丧失诊断及检查证据。</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b/>
          <w:szCs w:val="21"/>
        </w:rPr>
      </w:pPr>
      <w:r>
        <w:rPr>
          <w:rFonts w:hint="eastAsia" w:asciiTheme="minorEastAsia" w:hAnsiTheme="minorEastAsia" w:eastAsiaTheme="minorEastAsia" w:cstheme="minorEastAsia"/>
          <w:b/>
          <w:bCs/>
          <w:szCs w:val="21"/>
        </w:rPr>
        <w:t>重型再生障碍性贫血</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指因骨髓造血功能慢性持续性衰竭导致的贫血、中性粒细胞减少及血小板减少，且须满足下列全部条件：</w:t>
      </w:r>
      <w:r>
        <w:rPr>
          <w:rFonts w:asciiTheme="minorEastAsia" w:hAnsiTheme="minorEastAsia" w:eastAsiaTheme="minorEastAsia" w:cstheme="minorEastAsia"/>
          <w:color w:val="000000"/>
          <w:kern w:val="0"/>
          <w:szCs w:val="21"/>
          <w:lang w:bidi="ar"/>
        </w:rPr>
        <w:t xml:space="preserve"> </w:t>
      </w:r>
    </w:p>
    <w:p>
      <w:pPr>
        <w:pStyle w:val="20"/>
        <w:numPr>
          <w:ilvl w:val="0"/>
          <w:numId w:val="8"/>
        </w:numPr>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骨髓穿刺检查或骨髓活检结果支持诊断：骨髓细胞增生程度</w:t>
      </w:r>
      <w:r>
        <w:rPr>
          <w:rFonts w:asciiTheme="minorEastAsia" w:hAnsiTheme="minorEastAsia" w:eastAsiaTheme="minorEastAsia" w:cstheme="minorEastAsia"/>
          <w:color w:val="000000"/>
          <w:kern w:val="0"/>
          <w:szCs w:val="21"/>
          <w:lang w:bidi="ar"/>
        </w:rPr>
        <w:t>&lt;</w:t>
      </w:r>
      <w:r>
        <w:rPr>
          <w:rFonts w:hint="eastAsia" w:asciiTheme="minorEastAsia" w:hAnsiTheme="minorEastAsia" w:eastAsiaTheme="minorEastAsia" w:cstheme="minorEastAsia"/>
          <w:color w:val="000000"/>
          <w:kern w:val="0"/>
          <w:szCs w:val="21"/>
          <w:lang w:bidi="ar"/>
        </w:rPr>
        <w:t>正常的</w:t>
      </w:r>
      <w:r>
        <w:rPr>
          <w:rFonts w:asciiTheme="minorEastAsia" w:hAnsiTheme="minorEastAsia" w:eastAsiaTheme="minorEastAsia" w:cstheme="minorEastAsia"/>
          <w:color w:val="000000"/>
          <w:kern w:val="0"/>
          <w:szCs w:val="21"/>
          <w:lang w:bidi="ar"/>
        </w:rPr>
        <w:t xml:space="preserve"> 25%；如≥正常的 25%但&lt;50%，则残存的造血细胞应&lt;30%； </w:t>
      </w:r>
    </w:p>
    <w:p>
      <w:pPr>
        <w:pStyle w:val="20"/>
        <w:numPr>
          <w:ilvl w:val="0"/>
          <w:numId w:val="8"/>
        </w:numPr>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外周血象须具备以下三项条件中的两项：</w:t>
      </w:r>
      <w:r>
        <w:rPr>
          <w:rFonts w:asciiTheme="minorEastAsia" w:hAnsiTheme="minorEastAsia" w:eastAsiaTheme="minorEastAsia" w:cstheme="minorEastAsia"/>
          <w:color w:val="000000"/>
          <w:kern w:val="0"/>
          <w:szCs w:val="21"/>
          <w:lang w:bidi="ar"/>
        </w:rPr>
        <w:t xml:space="preserve"> </w:t>
      </w:r>
    </w:p>
    <w:p>
      <w:pPr>
        <w:pStyle w:val="20"/>
        <w:autoSpaceDE w:val="0"/>
        <w:autoSpaceDN w:val="0"/>
        <w:adjustRightInd w:val="0"/>
        <w:snapToGrid w:val="0"/>
        <w:spacing w:line="360" w:lineRule="auto"/>
        <w:ind w:firstLine="840" w:firstLineChars="4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①中性粒细胞绝对值</w:t>
      </w:r>
      <w:r>
        <w:rPr>
          <w:rFonts w:asciiTheme="minorEastAsia" w:hAnsiTheme="minorEastAsia" w:eastAsiaTheme="minorEastAsia" w:cstheme="minorEastAsia"/>
          <w:color w:val="000000"/>
          <w:kern w:val="0"/>
          <w:szCs w:val="21"/>
          <w:lang w:bidi="ar"/>
        </w:rPr>
        <w:t>&lt;0.5×10</w:t>
      </w:r>
      <w:r>
        <w:rPr>
          <w:rFonts w:asciiTheme="minorEastAsia" w:hAnsiTheme="minorEastAsia" w:eastAsiaTheme="minorEastAsia" w:cstheme="minorEastAsia"/>
          <w:color w:val="000000"/>
          <w:kern w:val="0"/>
          <w:szCs w:val="21"/>
          <w:vertAlign w:val="superscript"/>
          <w:lang w:bidi="ar"/>
        </w:rPr>
        <w:t>9</w:t>
      </w:r>
      <w:r>
        <w:rPr>
          <w:rFonts w:asciiTheme="minorEastAsia" w:hAnsiTheme="minorEastAsia" w:eastAsiaTheme="minorEastAsia" w:cstheme="minorEastAsia"/>
          <w:color w:val="000000"/>
          <w:kern w:val="0"/>
          <w:szCs w:val="21"/>
          <w:lang w:bidi="ar"/>
        </w:rPr>
        <w:t xml:space="preserve"> /L； </w:t>
      </w:r>
    </w:p>
    <w:p>
      <w:pPr>
        <w:widowControl/>
        <w:spacing w:line="360" w:lineRule="auto"/>
        <w:ind w:firstLine="840" w:firstLineChars="4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②网织红细胞计数</w:t>
      </w:r>
      <w:r>
        <w:rPr>
          <w:rFonts w:asciiTheme="minorEastAsia" w:hAnsiTheme="minorEastAsia" w:eastAsiaTheme="minorEastAsia" w:cstheme="minorEastAsia"/>
          <w:color w:val="000000"/>
          <w:kern w:val="0"/>
          <w:szCs w:val="21"/>
          <w:lang w:bidi="ar"/>
        </w:rPr>
        <w:t>&lt;20×10</w:t>
      </w:r>
      <w:r>
        <w:rPr>
          <w:rFonts w:asciiTheme="minorEastAsia" w:hAnsiTheme="minorEastAsia" w:eastAsiaTheme="minorEastAsia" w:cstheme="minorEastAsia"/>
          <w:color w:val="000000"/>
          <w:kern w:val="0"/>
          <w:szCs w:val="21"/>
          <w:vertAlign w:val="superscript"/>
          <w:lang w:bidi="ar"/>
        </w:rPr>
        <w:t>9</w:t>
      </w:r>
      <w:r>
        <w:rPr>
          <w:rFonts w:asciiTheme="minorEastAsia" w:hAnsiTheme="minorEastAsia" w:eastAsiaTheme="minorEastAsia" w:cstheme="minorEastAsia"/>
          <w:color w:val="000000"/>
          <w:kern w:val="0"/>
          <w:szCs w:val="21"/>
          <w:lang w:bidi="ar"/>
        </w:rPr>
        <w:t xml:space="preserve"> /L； </w:t>
      </w:r>
    </w:p>
    <w:p>
      <w:pPr>
        <w:widowControl/>
        <w:spacing w:line="360" w:lineRule="auto"/>
        <w:ind w:firstLine="840" w:firstLineChars="4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color w:val="000000"/>
          <w:kern w:val="0"/>
          <w:szCs w:val="21"/>
          <w:lang w:bidi="ar"/>
        </w:rPr>
        <w:t>③血小板绝对值</w:t>
      </w:r>
      <w:r>
        <w:rPr>
          <w:rFonts w:asciiTheme="minorEastAsia" w:hAnsiTheme="minorEastAsia" w:eastAsiaTheme="minorEastAsia" w:cstheme="minorEastAsia"/>
          <w:color w:val="000000"/>
          <w:kern w:val="0"/>
          <w:szCs w:val="21"/>
          <w:lang w:bidi="ar"/>
        </w:rPr>
        <w:t>&lt;20×10</w:t>
      </w:r>
      <w:r>
        <w:rPr>
          <w:rFonts w:asciiTheme="minorEastAsia" w:hAnsiTheme="minorEastAsia" w:eastAsiaTheme="minorEastAsia" w:cstheme="minorEastAsia"/>
          <w:color w:val="000000"/>
          <w:kern w:val="0"/>
          <w:szCs w:val="21"/>
          <w:vertAlign w:val="superscript"/>
          <w:lang w:bidi="ar"/>
        </w:rPr>
        <w:t>9</w:t>
      </w:r>
      <w:r>
        <w:rPr>
          <w:rFonts w:asciiTheme="minorEastAsia" w:hAnsiTheme="minorEastAsia" w:eastAsiaTheme="minorEastAsia" w:cstheme="minorEastAsia"/>
          <w:color w:val="000000"/>
          <w:kern w:val="0"/>
          <w:szCs w:val="21"/>
          <w:lang w:bidi="ar"/>
        </w:rPr>
        <w:t xml:space="preserve"> /L。 </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b/>
        </w:rPr>
      </w:pPr>
      <w:r>
        <w:rPr>
          <w:rFonts w:hint="eastAsia" w:asciiTheme="minorEastAsia" w:hAnsiTheme="minorEastAsia" w:eastAsiaTheme="minorEastAsia" w:cstheme="minorEastAsia"/>
          <w:b/>
          <w:bCs/>
          <w:szCs w:val="21"/>
        </w:rPr>
        <w:t>主动脉手术</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为治疗主动脉疾病或主动脉创伤，已经实施了开胸（含胸腔镜下）或开腹（含腹腔镜下）进行的切除、置换、修补病损主动脉血管、主动脉创伤后修复的手术。主动脉指升主动脉、主动脉弓和降主动脉（含胸主动脉和腹主动脉），</w:t>
      </w:r>
      <w:r>
        <w:rPr>
          <w:rFonts w:hint="eastAsia" w:asciiTheme="minorEastAsia" w:hAnsiTheme="minorEastAsia" w:eastAsiaTheme="minorEastAsia" w:cstheme="minorEastAsia"/>
          <w:b/>
          <w:bCs/>
          <w:color w:val="000000"/>
          <w:kern w:val="0"/>
          <w:szCs w:val="21"/>
          <w:lang w:bidi="ar"/>
        </w:rPr>
        <w:t>不包括升主动脉、主动脉弓和降主动脉的分支血管。</w:t>
      </w:r>
      <w:r>
        <w:rPr>
          <w:rFonts w:asciiTheme="minorEastAsia" w:hAnsiTheme="minorEastAsia" w:eastAsiaTheme="minorEastAsia" w:cstheme="minorEastAsia"/>
          <w:color w:val="000000"/>
          <w:kern w:val="0"/>
          <w:szCs w:val="21"/>
          <w:lang w:bidi="ar"/>
        </w:rPr>
        <w:t xml:space="preserve"> </w:t>
      </w:r>
    </w:p>
    <w:p>
      <w:pPr>
        <w:pStyle w:val="20"/>
        <w:autoSpaceDE w:val="0"/>
        <w:autoSpaceDN w:val="0"/>
        <w:adjustRightInd w:val="0"/>
        <w:snapToGrid w:val="0"/>
        <w:spacing w:line="360" w:lineRule="auto"/>
        <w:ind w:left="420" w:leftChars="200" w:firstLine="0" w:firstLineChars="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所有未实施开胸或开腹的动脉内介入治疗不在保障范围内。</w:t>
      </w:r>
    </w:p>
    <w:p>
      <w:pPr>
        <w:pStyle w:val="20"/>
        <w:numPr>
          <w:ilvl w:val="0"/>
          <w:numId w:val="1"/>
        </w:numPr>
        <w:autoSpaceDE w:val="0"/>
        <w:autoSpaceDN w:val="0"/>
        <w:adjustRightInd w:val="0"/>
        <w:snapToGrid w:val="0"/>
        <w:spacing w:line="360" w:lineRule="auto"/>
        <w:ind w:firstLineChars="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color w:val="000000"/>
          <w:kern w:val="0"/>
          <w:szCs w:val="21"/>
          <w:lang w:bidi="ar"/>
        </w:rPr>
        <w:t>严重慢性呼吸衰竭</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指因慢性呼吸系统疾病导致永久不可逆性的呼吸衰竭，经过积极治疗</w:t>
      </w:r>
      <w:r>
        <w:rPr>
          <w:rFonts w:asciiTheme="minorEastAsia" w:hAnsiTheme="minorEastAsia" w:eastAsiaTheme="minorEastAsia" w:cstheme="minorEastAsia"/>
          <w:color w:val="000000"/>
          <w:kern w:val="0"/>
          <w:szCs w:val="21"/>
          <w:lang w:bidi="ar"/>
        </w:rPr>
        <w:t xml:space="preserve"> 180 </w:t>
      </w:r>
      <w:r>
        <w:rPr>
          <w:rFonts w:hint="eastAsia" w:asciiTheme="minorEastAsia" w:hAnsiTheme="minorEastAsia" w:eastAsiaTheme="minorEastAsia" w:cstheme="minorEastAsia"/>
          <w:color w:val="000000"/>
          <w:kern w:val="0"/>
          <w:szCs w:val="21"/>
          <w:lang w:bidi="ar"/>
        </w:rPr>
        <w:t>天后满足以下所有条件：</w:t>
      </w:r>
      <w:r>
        <w:rPr>
          <w:rFonts w:asciiTheme="minorEastAsia" w:hAnsiTheme="minorEastAsia" w:eastAsiaTheme="minorEastAsia" w:cstheme="minorEastAsia"/>
          <w:color w:val="000000"/>
          <w:kern w:val="0"/>
          <w:szCs w:val="21"/>
          <w:lang w:bidi="ar"/>
        </w:rPr>
        <w:t xml:space="preserve"> </w:t>
      </w:r>
    </w:p>
    <w:p>
      <w:pPr>
        <w:pStyle w:val="20"/>
        <w:autoSpaceDE w:val="0"/>
        <w:autoSpaceDN w:val="0"/>
        <w:adjustRightInd w:val="0"/>
        <w:snapToGrid w:val="0"/>
        <w:spacing w:line="360" w:lineRule="auto"/>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1）静息时出现呼吸困难； </w:t>
      </w:r>
    </w:p>
    <w:p>
      <w:pPr>
        <w:pStyle w:val="20"/>
        <w:autoSpaceDE w:val="0"/>
        <w:autoSpaceDN w:val="0"/>
        <w:adjustRightInd w:val="0"/>
        <w:snapToGrid w:val="0"/>
        <w:spacing w:line="360" w:lineRule="auto"/>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 xml:space="preserve">2）0肺功能第一秒用力呼气容积（FEV1）占预计值的百分比＜30%； </w:t>
      </w:r>
    </w:p>
    <w:p>
      <w:pPr>
        <w:pStyle w:val="20"/>
        <w:autoSpaceDE w:val="0"/>
        <w:autoSpaceDN w:val="0"/>
        <w:adjustRightInd w:val="0"/>
        <w:snapToGrid w:val="0"/>
        <w:spacing w:line="360" w:lineRule="auto"/>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color w:val="000000"/>
          <w:kern w:val="0"/>
          <w:szCs w:val="21"/>
          <w:lang w:bidi="ar"/>
        </w:rPr>
        <w:t>（</w:t>
      </w:r>
      <w:r>
        <w:rPr>
          <w:rFonts w:asciiTheme="minorEastAsia" w:hAnsiTheme="minorEastAsia" w:eastAsiaTheme="minorEastAsia" w:cstheme="minorEastAsia"/>
          <w:color w:val="000000"/>
          <w:kern w:val="0"/>
          <w:szCs w:val="21"/>
          <w:lang w:bidi="ar"/>
        </w:rPr>
        <w:t>3）在静息状态、呼吸空气条件下，动脉血氧分压（PaO</w:t>
      </w:r>
      <w:r>
        <w:rPr>
          <w:rFonts w:asciiTheme="minorEastAsia" w:hAnsiTheme="minorEastAsia" w:eastAsiaTheme="minorEastAsia" w:cstheme="minorEastAsia"/>
          <w:color w:val="000000"/>
          <w:kern w:val="0"/>
          <w:szCs w:val="21"/>
          <w:vertAlign w:val="subscript"/>
          <w:lang w:bidi="ar"/>
        </w:rPr>
        <w:t>2</w:t>
      </w:r>
      <w:r>
        <w:rPr>
          <w:rFonts w:asciiTheme="minorEastAsia" w:hAnsiTheme="minorEastAsia" w:eastAsiaTheme="minorEastAsia" w:cstheme="minorEastAsia"/>
          <w:color w:val="000000"/>
          <w:kern w:val="0"/>
          <w:szCs w:val="21"/>
          <w:lang w:bidi="ar"/>
        </w:rPr>
        <w:t>）＜50mmHg。</w:t>
      </w:r>
    </w:p>
    <w:p>
      <w:pPr>
        <w:pStyle w:val="20"/>
        <w:numPr>
          <w:ilvl w:val="0"/>
          <w:numId w:val="1"/>
        </w:numPr>
        <w:autoSpaceDE w:val="0"/>
        <w:autoSpaceDN w:val="0"/>
        <w:adjustRightInd w:val="0"/>
        <w:snapToGrid w:val="0"/>
        <w:spacing w:line="360" w:lineRule="auto"/>
        <w:ind w:firstLineChars="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严重克罗恩病</w:t>
      </w:r>
    </w:p>
    <w:p>
      <w:pPr>
        <w:pStyle w:val="20"/>
        <w:autoSpaceDE w:val="0"/>
        <w:autoSpaceDN w:val="0"/>
        <w:adjustRightInd w:val="0"/>
        <w:snapToGrid w:val="0"/>
        <w:spacing w:line="36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指一种慢性肉芽肿性肠炎，具有特征性的克罗恩病（</w:t>
      </w:r>
      <w:r>
        <w:rPr>
          <w:rFonts w:asciiTheme="minorEastAsia" w:hAnsiTheme="minorEastAsia" w:eastAsiaTheme="minorEastAsia" w:cstheme="minorEastAsia"/>
          <w:color w:val="000000"/>
          <w:kern w:val="0"/>
          <w:szCs w:val="21"/>
          <w:lang w:bidi="ar"/>
        </w:rPr>
        <w:t xml:space="preserve">Crohn </w:t>
      </w:r>
      <w:r>
        <w:rPr>
          <w:rFonts w:hint="eastAsia" w:asciiTheme="minorEastAsia" w:hAnsiTheme="minorEastAsia" w:eastAsiaTheme="minorEastAsia" w:cstheme="minorEastAsia"/>
          <w:color w:val="000000"/>
          <w:kern w:val="0"/>
          <w:szCs w:val="21"/>
          <w:lang w:bidi="ar"/>
        </w:rPr>
        <w:t>病）病理组织学变化，须根据组织病理学特点诊断，且已经造成瘘管形成并伴有肠梗阻或肠穿孔。</w:t>
      </w:r>
    </w:p>
    <w:p>
      <w:pPr>
        <w:pStyle w:val="20"/>
        <w:numPr>
          <w:ilvl w:val="0"/>
          <w:numId w:val="1"/>
        </w:numPr>
        <w:autoSpaceDE w:val="0"/>
        <w:autoSpaceDN w:val="0"/>
        <w:adjustRightInd w:val="0"/>
        <w:snapToGrid w:val="0"/>
        <w:spacing w:line="360" w:lineRule="auto"/>
        <w:ind w:firstLineChars="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严重溃疡性结肠炎</w:t>
      </w:r>
    </w:p>
    <w:p>
      <w:pPr>
        <w:widowControl/>
        <w:spacing w:line="360" w:lineRule="auto"/>
        <w:ind w:firstLine="420" w:firstLineChars="200"/>
        <w:jc w:val="left"/>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color w:val="000000"/>
          <w:kern w:val="0"/>
          <w:szCs w:val="21"/>
          <w:lang w:bidi="ar"/>
        </w:rPr>
        <w:t>指伴有致命性电解质紊乱的急性暴发性溃疡性结肠炎，病变已经累及全结肠，表现为严重的血便和系统性症状体征，须根据组织病理学特点诊断，且已经实施了结肠切除或回肠造瘘术。</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2" w:firstLineChars="200"/>
        <w:jc w:val="left"/>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以上</w:t>
      </w:r>
      <w:r>
        <w:rPr>
          <w:rFonts w:asciiTheme="minorEastAsia" w:hAnsiTheme="minorEastAsia" w:eastAsiaTheme="minorEastAsia" w:cstheme="minorEastAsia"/>
          <w:b/>
          <w:kern w:val="0"/>
          <w:szCs w:val="21"/>
        </w:rPr>
        <w:t>28种重大疾病为中国保险行业协会制定的</w:t>
      </w:r>
      <w:r>
        <w:rPr>
          <w:rFonts w:hint="eastAsia" w:asciiTheme="minorEastAsia" w:hAnsiTheme="minorEastAsia" w:eastAsiaTheme="minorEastAsia" w:cstheme="minorEastAsia"/>
          <w:b/>
          <w:color w:val="000000"/>
          <w:kern w:val="0"/>
          <w:szCs w:val="21"/>
          <w:lang w:bidi="ar"/>
        </w:rPr>
        <w:t>《重大疾病保险的疾病定义使用规范（</w:t>
      </w:r>
      <w:r>
        <w:rPr>
          <w:rFonts w:asciiTheme="minorEastAsia" w:hAnsiTheme="minorEastAsia" w:eastAsiaTheme="minorEastAsia" w:cstheme="minorEastAsia"/>
          <w:b/>
          <w:color w:val="000000"/>
          <w:kern w:val="0"/>
          <w:szCs w:val="21"/>
          <w:lang w:bidi="ar"/>
        </w:rPr>
        <w:t xml:space="preserve">2020 </w:t>
      </w:r>
      <w:r>
        <w:rPr>
          <w:rFonts w:hint="eastAsia" w:asciiTheme="minorEastAsia" w:hAnsiTheme="minorEastAsia" w:eastAsiaTheme="minorEastAsia" w:cstheme="minorEastAsia"/>
          <w:b/>
          <w:color w:val="000000"/>
          <w:kern w:val="0"/>
          <w:szCs w:val="21"/>
          <w:lang w:bidi="ar"/>
        </w:rPr>
        <w:t>年修订版）》</w:t>
      </w:r>
      <w:r>
        <w:rPr>
          <w:rFonts w:hint="eastAsia" w:asciiTheme="minorEastAsia" w:hAnsiTheme="minorEastAsia" w:eastAsiaTheme="minorEastAsia" w:cstheme="minorEastAsia"/>
          <w:b/>
          <w:kern w:val="0"/>
          <w:szCs w:val="21"/>
        </w:rPr>
        <w:t>中列明的疾病，以下</w:t>
      </w:r>
      <w:r>
        <w:rPr>
          <w:rFonts w:asciiTheme="minorEastAsia" w:hAnsiTheme="minorEastAsia" w:eastAsiaTheme="minorEastAsia" w:cstheme="minorEastAsia"/>
          <w:b/>
          <w:kern w:val="0"/>
          <w:szCs w:val="21"/>
        </w:rPr>
        <w:t>92种重大疾病为保险人增加的疾病。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严重心肌病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指被保险人因心肌病导致慢性心功能损害造成永久不可逆性的心功能衰竭。心功能衰竭程度达到纽约心脏病学会的心功能分级标准之心功能</w:t>
      </w:r>
      <w:r>
        <w:rPr>
          <w:rFonts w:asciiTheme="minorEastAsia" w:hAnsiTheme="minorEastAsia" w:eastAsiaTheme="minorEastAsia" w:cstheme="minorEastAsia"/>
          <w:szCs w:val="21"/>
        </w:rPr>
        <w:t>IV级。被保险人永久不可逆性的体力活动能力受限，不能从事任何体力活动。</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严重多发性硬化症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多发性硬化为中枢神经系统白质多灶性脱髓鞘病变，病变有时累及灰质。多发性硬化必须明确诊断，并且已经造成永久不可逆的神经系统功能损害。永久不可逆的神经系统损害指被保险人持续</w:t>
      </w:r>
      <w:r>
        <w:rPr>
          <w:rFonts w:asciiTheme="minorEastAsia" w:hAnsiTheme="minorEastAsia" w:eastAsiaTheme="minorEastAsia" w:cstheme="minorEastAsia"/>
          <w:szCs w:val="21"/>
        </w:rPr>
        <w:t>180天无法独立完成下列基本日常生活活动之一：</w:t>
      </w:r>
    </w:p>
    <w:p>
      <w:pPr>
        <w:pStyle w:val="20"/>
        <w:numPr>
          <w:ilvl w:val="0"/>
          <w:numId w:val="9"/>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移动：自己从一个房间到另一个房间；</w:t>
      </w:r>
    </w:p>
    <w:p>
      <w:pPr>
        <w:pStyle w:val="20"/>
        <w:numPr>
          <w:ilvl w:val="0"/>
          <w:numId w:val="9"/>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进食：自己从已准备好的碗或碟中取食物放入口中。</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严重全身性重症肌无力</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重症肌无力是一种神经肌肉接头传递障碍所致的疾病，表现为局部或全身骨骼肌（特别是眼外肌）极易疲劳。疾病可以累及呼吸肌、上肢或下肢的近端肌群或全身肌肉，必须满足下列所有条件：</w:t>
      </w:r>
    </w:p>
    <w:p>
      <w:pPr>
        <w:pStyle w:val="20"/>
        <w:numPr>
          <w:ilvl w:val="0"/>
          <w:numId w:val="10"/>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经药物治疗和胸腺切除治疗一年以上仍无法控制病情；</w:t>
      </w:r>
    </w:p>
    <w:p>
      <w:pPr>
        <w:pStyle w:val="20"/>
        <w:numPr>
          <w:ilvl w:val="0"/>
          <w:numId w:val="10"/>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自主生活能力完全丧失，无法独立完成六项基本日常生活活动中的三项或三项以上。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严重类风湿性关节炎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类风湿性关节炎为广泛分布的慢性进行性多关节病变，表现为关节严重变形，侵犯至少三个主要关节或关节组【如：双手（多手指）关节、双足（多足趾）关节、双腕关节、双膝关节和双髋关节】。类风湿性关节炎必须明确诊断并且已经达到类风湿性关节炎功能分类</w:t>
      </w:r>
      <w:r>
        <w:rPr>
          <w:rFonts w:asciiTheme="minorEastAsia" w:hAnsiTheme="minorEastAsia" w:eastAsiaTheme="minorEastAsia" w:cstheme="minorEastAsia"/>
          <w:szCs w:val="21"/>
        </w:rPr>
        <w:t>IV级的永久不可逆性关节功能障碍（生活不能自理，且丧失活动能力）。</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美国风湿病学会类风湿性关节炎分级</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I级：关节能自由活动，能完成平常的任务而无妨碍。</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II级：关节活动中度限制，一个或几个关节疼痛不适，但能料理日常生活。</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III级：关节活动显著限制，不能胜任工作，料理生活也有困难。</w:t>
      </w:r>
    </w:p>
    <w:p>
      <w:pPr>
        <w:pStyle w:val="21"/>
        <w:autoSpaceDE w:val="0"/>
        <w:autoSpaceDN w:val="0"/>
        <w:adjustRightInd w:val="0"/>
        <w:snapToGrid w:val="0"/>
        <w:spacing w:after="160" w:line="360" w:lineRule="auto"/>
        <w:rPr>
          <w:rFonts w:asciiTheme="minorEastAsia" w:hAnsiTheme="minorEastAsia" w:eastAsiaTheme="minorEastAsia" w:cstheme="minorEastAsia"/>
          <w:b/>
          <w:bCs/>
          <w:szCs w:val="21"/>
        </w:rPr>
      </w:pPr>
      <w:r>
        <w:rPr>
          <w:rFonts w:asciiTheme="minorEastAsia" w:hAnsiTheme="minorEastAsia" w:eastAsiaTheme="minorEastAsia" w:cstheme="minorEastAsia"/>
          <w:szCs w:val="21"/>
        </w:rPr>
        <w:t>IV级：大部分或完全失去活动能力，病人长期卧床或依赖轮椅，生活不能自理。</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原发性系统性淀粉样变性</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淀粉样变性是一组蛋白质代谢障碍性疾病，病理表现为淀粉样蛋白沉积于组织或器官。原发性系统性淀粉样变性原因不明，通常累及肾脏和</w:t>
      </w:r>
      <w:r>
        <w:rPr>
          <w:rFonts w:asciiTheme="minorEastAsia" w:hAnsiTheme="minorEastAsia" w:eastAsiaTheme="minorEastAsia" w:cstheme="minorEastAsia"/>
          <w:szCs w:val="21"/>
        </w:rPr>
        <w:t>/或心脏。</w:t>
      </w:r>
      <w:r>
        <w:rPr>
          <w:rFonts w:asciiTheme="minorEastAsia" w:hAnsiTheme="minorEastAsia" w:eastAsiaTheme="minorEastAsia" w:cstheme="minorEastAsia"/>
          <w:szCs w:val="21"/>
        </w:rPr>
        <w:br w:type="textWrapping"/>
      </w:r>
      <w:r>
        <w:rPr>
          <w:rFonts w:hint="eastAsia" w:asciiTheme="minorEastAsia" w:hAnsiTheme="minorEastAsia" w:eastAsiaTheme="minorEastAsia" w:cstheme="minorEastAsia"/>
          <w:szCs w:val="21"/>
        </w:rPr>
        <w:t>被保险人经活检组织病理学检查被明确诊断为淀粉样变性，并满足下列条件之一：</w:t>
      </w:r>
    </w:p>
    <w:p>
      <w:pPr>
        <w:pStyle w:val="20"/>
        <w:numPr>
          <w:ilvl w:val="0"/>
          <w:numId w:val="11"/>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心脏淀粉样变性，被保险人存在限制性心肌病及其所致的充血性心力衰竭，达到美国纽约心脏病学会心功能状态分级</w:t>
      </w:r>
      <w:r>
        <w:rPr>
          <w:rFonts w:asciiTheme="minorEastAsia" w:hAnsiTheme="minorEastAsia" w:eastAsiaTheme="minorEastAsia" w:cstheme="minorEastAsia"/>
          <w:kern w:val="0"/>
          <w:szCs w:val="21"/>
        </w:rPr>
        <w:t>III级，并持续180天以上；</w:t>
      </w:r>
    </w:p>
    <w:p>
      <w:pPr>
        <w:pStyle w:val="20"/>
        <w:numPr>
          <w:ilvl w:val="0"/>
          <w:numId w:val="11"/>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肾脏淀粉样变性，被保险人存在肾病综合征及其所致的严重的肾脏功能衰竭，达到尿毒症诊断标准，并持续</w:t>
      </w:r>
      <w:r>
        <w:rPr>
          <w:rFonts w:asciiTheme="minorEastAsia" w:hAnsiTheme="minorEastAsia" w:eastAsiaTheme="minorEastAsia" w:cstheme="minorEastAsia"/>
          <w:kern w:val="0"/>
          <w:szCs w:val="21"/>
        </w:rPr>
        <w:t>180天以上。</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继发性淀粉样变性不在保障范围内。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破裂脑动脉瘤夹闭手术</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指因脑动脉瘤破裂造成蛛网膜下腔出血，被保险人实际接受了在全麻下进行的开颅脑动脉瘤夹闭手术。</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脑动脉瘤（未破裂）预防性手术、颅骨打孔手术、动脉瘤栓塞手术、血管内手术及其他颅脑手术不在本保障范围内。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严重弥漫性系统性硬皮病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一种系统性胶原血管病引起进行性的皮肤</w:t>
      </w:r>
      <w:r>
        <w:rPr>
          <w:rFonts w:asciiTheme="minorEastAsia" w:hAnsiTheme="minorEastAsia" w:eastAsiaTheme="minorEastAsia" w:cstheme="minorEastAsia"/>
          <w:szCs w:val="21"/>
        </w:rPr>
        <w:t>/血管和内脏器官的弥漫性纤维化。诊断必须明确并由活检和血清学证据支持并且疾病已经影响到心脏、肺或肾脏等内脏器官并且达到下列所有标准：</w:t>
      </w:r>
    </w:p>
    <w:p>
      <w:pPr>
        <w:pStyle w:val="20"/>
        <w:numPr>
          <w:ilvl w:val="0"/>
          <w:numId w:val="12"/>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肺纤维化，已经出现肺动脉高压、肺心病；</w:t>
      </w:r>
    </w:p>
    <w:p>
      <w:pPr>
        <w:pStyle w:val="20"/>
        <w:numPr>
          <w:ilvl w:val="0"/>
          <w:numId w:val="12"/>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心脏损害，心脏功能衰竭程度达到纽约心脏病学会的心功能分级标准之心功能</w:t>
      </w:r>
      <w:r>
        <w:rPr>
          <w:rFonts w:asciiTheme="minorEastAsia" w:hAnsiTheme="minorEastAsia" w:eastAsiaTheme="minorEastAsia" w:cstheme="minorEastAsia"/>
          <w:kern w:val="0"/>
          <w:szCs w:val="21"/>
        </w:rPr>
        <w:t>IV级；</w:t>
      </w:r>
    </w:p>
    <w:p>
      <w:pPr>
        <w:pStyle w:val="20"/>
        <w:numPr>
          <w:ilvl w:val="0"/>
          <w:numId w:val="12"/>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肾脏损害，已经出现肾功能衰竭。</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下列疾病不在保障范围内：</w:t>
      </w:r>
    </w:p>
    <w:p>
      <w:pPr>
        <w:pStyle w:val="20"/>
        <w:numPr>
          <w:ilvl w:val="0"/>
          <w:numId w:val="13"/>
        </w:numPr>
        <w:autoSpaceDE w:val="0"/>
        <w:autoSpaceDN w:val="0"/>
        <w:adjustRightInd w:val="0"/>
        <w:snapToGrid w:val="0"/>
        <w:spacing w:line="360" w:lineRule="auto"/>
        <w:ind w:left="0" w:firstLine="422"/>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局限硬皮病；</w:t>
      </w:r>
    </w:p>
    <w:p>
      <w:pPr>
        <w:pStyle w:val="20"/>
        <w:numPr>
          <w:ilvl w:val="0"/>
          <w:numId w:val="13"/>
        </w:numPr>
        <w:autoSpaceDE w:val="0"/>
        <w:autoSpaceDN w:val="0"/>
        <w:adjustRightInd w:val="0"/>
        <w:snapToGrid w:val="0"/>
        <w:spacing w:line="360" w:lineRule="auto"/>
        <w:ind w:left="0" w:firstLine="422"/>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嗜酸细胞筋膜炎；</w:t>
      </w:r>
    </w:p>
    <w:p>
      <w:pPr>
        <w:pStyle w:val="20"/>
        <w:numPr>
          <w:ilvl w:val="0"/>
          <w:numId w:val="13"/>
        </w:numPr>
        <w:autoSpaceDE w:val="0"/>
        <w:autoSpaceDN w:val="0"/>
        <w:adjustRightInd w:val="0"/>
        <w:snapToGrid w:val="0"/>
        <w:spacing w:line="360" w:lineRule="auto"/>
        <w:ind w:left="0" w:firstLine="422"/>
        <w:rPr>
          <w:rFonts w:asciiTheme="minorEastAsia" w:hAnsiTheme="minorEastAsia" w:eastAsiaTheme="minorEastAsia" w:cstheme="minorEastAsia"/>
          <w:b/>
          <w:bCs/>
          <w:kern w:val="0"/>
          <w:szCs w:val="21"/>
        </w:rPr>
      </w:pPr>
      <w:r>
        <w:rPr>
          <w:rFonts w:asciiTheme="minorEastAsia" w:hAnsiTheme="minorEastAsia" w:eastAsiaTheme="minorEastAsia" w:cstheme="minorEastAsia"/>
          <w:b/>
          <w:bCs/>
          <w:kern w:val="0"/>
          <w:szCs w:val="21"/>
        </w:rPr>
        <w:t>CREST综合征。</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严重冠心病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指经冠状动脉造影检查结果明确诊断为三支主要血管严重狭窄性病变（至少一支血管管腔直径减少</w:t>
      </w:r>
      <w:r>
        <w:rPr>
          <w:rFonts w:asciiTheme="minorEastAsia" w:hAnsiTheme="minorEastAsia" w:eastAsiaTheme="minorEastAsia" w:cstheme="minorEastAsia"/>
          <w:szCs w:val="21"/>
        </w:rPr>
        <w:t>75％以上和其他两支血管</w:t>
      </w:r>
      <w:r>
        <w:rPr>
          <w:rFonts w:hint="eastAsia" w:asciiTheme="minorEastAsia" w:hAnsiTheme="minorEastAsia" w:eastAsiaTheme="minorEastAsia" w:cstheme="minorEastAsia"/>
          <w:szCs w:val="21"/>
        </w:rPr>
        <w:t>管腔直径减少</w:t>
      </w:r>
      <w:r>
        <w:rPr>
          <w:rFonts w:asciiTheme="minorEastAsia" w:hAnsiTheme="minorEastAsia" w:eastAsiaTheme="minorEastAsia" w:cstheme="minorEastAsia"/>
          <w:szCs w:val="21"/>
        </w:rPr>
        <w:t>60％以上）。冠状动脉的主要血管指左冠状动脉主干、前降支、左旋支及右冠状动脉。</w:t>
      </w:r>
      <w:r>
        <w:rPr>
          <w:rFonts w:asciiTheme="minorEastAsia" w:hAnsiTheme="minorEastAsia" w:eastAsiaTheme="minorEastAsia" w:cstheme="minorEastAsia"/>
          <w:b/>
          <w:bCs/>
          <w:szCs w:val="21"/>
        </w:rPr>
        <w:t>前降支、左旋支及右冠状动脉的分支血管的狭窄不作为</w:t>
      </w:r>
      <w:r>
        <w:rPr>
          <w:rFonts w:hint="eastAsia" w:asciiTheme="minorEastAsia" w:hAnsiTheme="minorEastAsia" w:eastAsiaTheme="minorEastAsia" w:cstheme="minorEastAsia"/>
          <w:b/>
          <w:bCs/>
          <w:szCs w:val="21"/>
        </w:rPr>
        <w:t>本保障的衡量指标。</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严重慢性复发性胰腺炎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指慢性反复发作的胰腺炎症导致胰腺的广泛纤维化、坏死、弥漫性钙化及假性囊肿形成，造成胰腺功能障碍出现严重糖尿病和营养不良。必须满足下列所有条件：</w:t>
      </w:r>
    </w:p>
    <w:p>
      <w:pPr>
        <w:pStyle w:val="20"/>
        <w:numPr>
          <w:ilvl w:val="0"/>
          <w:numId w:val="1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医疗记录证实存在慢性胰腺炎反复急性发作病史；</w:t>
      </w:r>
    </w:p>
    <w:p>
      <w:pPr>
        <w:pStyle w:val="20"/>
        <w:numPr>
          <w:ilvl w:val="0"/>
          <w:numId w:val="1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rPr>
        <w:t>CT显示胰腺广泛钙化或逆行</w:t>
      </w:r>
      <w:r>
        <w:rPr>
          <w:rFonts w:hint="eastAsia" w:asciiTheme="minorEastAsia" w:hAnsiTheme="minorEastAsia" w:eastAsiaTheme="minorEastAsia" w:cstheme="minorEastAsia"/>
          <w:kern w:val="0"/>
          <w:szCs w:val="21"/>
        </w:rPr>
        <w:t>胰胆管造影（</w:t>
      </w:r>
      <w:r>
        <w:rPr>
          <w:rFonts w:asciiTheme="minorEastAsia" w:hAnsiTheme="minorEastAsia" w:eastAsiaTheme="minorEastAsia" w:cstheme="minorEastAsia"/>
          <w:kern w:val="0"/>
          <w:szCs w:val="21"/>
        </w:rPr>
        <w:t>ERCP）显示胰管扭曲、扩张和狭窄；</w:t>
      </w:r>
    </w:p>
    <w:p>
      <w:pPr>
        <w:pStyle w:val="20"/>
        <w:numPr>
          <w:ilvl w:val="0"/>
          <w:numId w:val="1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持续接受胰岛素替代治疗和酶替代治疗</w:t>
      </w:r>
      <w:r>
        <w:rPr>
          <w:rFonts w:asciiTheme="minorEastAsia" w:hAnsiTheme="minorEastAsia" w:eastAsiaTheme="minorEastAsia" w:cstheme="minorEastAsia"/>
          <w:kern w:val="0"/>
          <w:szCs w:val="21"/>
        </w:rPr>
        <w:t>180天以上。</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酒精导致的慢性复发性胰腺炎不在本保障范围内。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植物人状态</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植物人状态系指由于严重颅脑外伤造成大脑和</w:t>
      </w:r>
      <w:r>
        <w:rPr>
          <w:rFonts w:asciiTheme="minorEastAsia" w:hAnsiTheme="minorEastAsia" w:eastAsiaTheme="minorEastAsia" w:cstheme="minorEastAsia"/>
          <w:szCs w:val="21"/>
        </w:rPr>
        <w:t>/或脑干严重损害导致完全永久性的对自身和环境的意识丧失和中枢神经系统功能丧失，仅残存植物神经功能的疾病状态。诊断必须明确并且具有严重颅脑外伤和脑损害的证据。植物人状态必须持续30天以上方可申请理赔。</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重症急性坏死性筋膜炎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是一种由细菌侵入皮下组织和筋膜引起的急性坏死性软组织感染，可伴有毒血症、败血症、中毒性休克、弥漫性血管内凝血及多器官衰竭。必须满足下列所有条件：</w:t>
      </w:r>
    </w:p>
    <w:p>
      <w:pPr>
        <w:pStyle w:val="20"/>
        <w:numPr>
          <w:ilvl w:val="0"/>
          <w:numId w:val="1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细菌培养和临床表现符合坏死性筋膜炎诊断标准；</w:t>
      </w:r>
    </w:p>
    <w:p>
      <w:pPr>
        <w:pStyle w:val="20"/>
        <w:numPr>
          <w:ilvl w:val="0"/>
          <w:numId w:val="1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病情迅速恶化，有脓毒血症表现；</w:t>
      </w:r>
    </w:p>
    <w:p>
      <w:pPr>
        <w:pStyle w:val="20"/>
        <w:numPr>
          <w:ilvl w:val="0"/>
          <w:numId w:val="1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受感染肢体被截肢（自腕关节或踝关节近端）。</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特发性慢性肾上腺皮质功能不全</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指自身免疫性肾上腺炎（既往称：特发性肾上腺皮质萎缩）导致肾上腺萎缩和慢性肾上腺皮质功能减退。必须满足所有以下条件：</w:t>
      </w:r>
    </w:p>
    <w:p>
      <w:pPr>
        <w:pStyle w:val="20"/>
        <w:numPr>
          <w:ilvl w:val="0"/>
          <w:numId w:val="16"/>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明确诊断，符合以下所有诊断标准：</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(a)血浆促肾上腺皮质激素（ACTH）水平测定，&gt;100pg/ml；</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(b)血浆肾素活性、血管紧张素II和醛固酮测定，显示为原发性肾上腺皮质功能减退症；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(c)促肾上腺皮质激素（ACTH）刺激试验显示为原发性肾上腺皮质功能减退症。</w:t>
      </w:r>
    </w:p>
    <w:p>
      <w:pPr>
        <w:pStyle w:val="20"/>
        <w:numPr>
          <w:ilvl w:val="0"/>
          <w:numId w:val="16"/>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已经采用皮质类固醇替代治疗</w:t>
      </w:r>
      <w:r>
        <w:rPr>
          <w:rFonts w:asciiTheme="minorEastAsia" w:hAnsiTheme="minorEastAsia" w:eastAsiaTheme="minorEastAsia" w:cstheme="minorEastAsia"/>
          <w:kern w:val="0"/>
          <w:szCs w:val="21"/>
        </w:rPr>
        <w:t>180天以上。</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肾上腺结核、</w:t>
      </w:r>
      <w:r>
        <w:rPr>
          <w:rFonts w:asciiTheme="minorEastAsia" w:hAnsiTheme="minorEastAsia" w:eastAsiaTheme="minorEastAsia" w:cstheme="minorEastAsia"/>
          <w:b/>
          <w:bCs/>
          <w:szCs w:val="21"/>
        </w:rPr>
        <w:t>HIV感染或艾滋病、感染、肿瘤所致的原发性肾上腺皮质功能减退和</w:t>
      </w:r>
      <w:r>
        <w:rPr>
          <w:rFonts w:hint="eastAsia" w:asciiTheme="minorEastAsia" w:hAnsiTheme="minorEastAsia" w:eastAsiaTheme="minorEastAsia" w:cstheme="minorEastAsia"/>
          <w:b/>
          <w:bCs/>
          <w:szCs w:val="21"/>
        </w:rPr>
        <w:t>继发性肾上腺皮质功能减退不在本保障范围内。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严重心肌炎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指被保险人因严重心肌炎症性病变导致心功能损害造成持续的永久不可逆性的心功能衰竭。必须满足下列所有条件：</w:t>
      </w:r>
    </w:p>
    <w:p>
      <w:pPr>
        <w:pStyle w:val="20"/>
        <w:numPr>
          <w:ilvl w:val="0"/>
          <w:numId w:val="17"/>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心功能衰竭程度达到纽约心脏病学会的心功能分级标准之心功能</w:t>
      </w:r>
      <w:r>
        <w:rPr>
          <w:rFonts w:asciiTheme="minorEastAsia" w:hAnsiTheme="minorEastAsia" w:eastAsiaTheme="minorEastAsia" w:cstheme="minorEastAsia"/>
          <w:kern w:val="0"/>
          <w:szCs w:val="21"/>
        </w:rPr>
        <w:t>IV级，或左室射血分数低于30%；</w:t>
      </w:r>
    </w:p>
    <w:p>
      <w:pPr>
        <w:pStyle w:val="20"/>
        <w:numPr>
          <w:ilvl w:val="0"/>
          <w:numId w:val="17"/>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持续不间断</w:t>
      </w:r>
      <w:r>
        <w:rPr>
          <w:rFonts w:asciiTheme="minorEastAsia" w:hAnsiTheme="minorEastAsia" w:eastAsiaTheme="minorEastAsia" w:cstheme="minorEastAsia"/>
          <w:kern w:val="0"/>
          <w:szCs w:val="21"/>
        </w:rPr>
        <w:t>180天以上；</w:t>
      </w:r>
    </w:p>
    <w:p>
      <w:pPr>
        <w:pStyle w:val="20"/>
        <w:numPr>
          <w:ilvl w:val="0"/>
          <w:numId w:val="17"/>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被保险人永久不可逆性的体力活动能力受限，不能从事任何体力活动。</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慢性肺源性心脏病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指被保险人因慢性肺部疾病导致慢性肺源性心脏病并且引起慢性心功能损害造成永久不可逆性的心功能衰竭。心功能衰竭程度达到纽约心脏病学会的心功能分级标准之心功能</w:t>
      </w:r>
      <w:r>
        <w:rPr>
          <w:rFonts w:asciiTheme="minorEastAsia" w:hAnsiTheme="minorEastAsia" w:eastAsiaTheme="minorEastAsia" w:cstheme="minorEastAsia"/>
          <w:szCs w:val="21"/>
        </w:rPr>
        <w:t>IV级。被保险人永久不可逆性的体力活动能力受限，不能从事任何体力活动。</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严重原发性硬化性胆管炎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为一种特发型淤胆性疾病，特点为肝内及肝外胆道系统胆管壁增厚和管腔狭窄。必须满足下列所有条件：</w:t>
      </w:r>
    </w:p>
    <w:p>
      <w:pPr>
        <w:pStyle w:val="20"/>
        <w:numPr>
          <w:ilvl w:val="0"/>
          <w:numId w:val="18"/>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诊断由逆行胰胆管造影（</w:t>
      </w:r>
      <w:r>
        <w:rPr>
          <w:rFonts w:asciiTheme="minorEastAsia" w:hAnsiTheme="minorEastAsia" w:eastAsiaTheme="minorEastAsia" w:cstheme="minorEastAsia"/>
          <w:kern w:val="0"/>
          <w:szCs w:val="21"/>
        </w:rPr>
        <w:t>ERCP）或经皮胆管造影（PTC）确认；</w:t>
      </w:r>
    </w:p>
    <w:p>
      <w:pPr>
        <w:pStyle w:val="20"/>
        <w:numPr>
          <w:ilvl w:val="0"/>
          <w:numId w:val="18"/>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持续性黄疸伴碱性磷酸酶（</w:t>
      </w:r>
      <w:r>
        <w:rPr>
          <w:rFonts w:asciiTheme="minorEastAsia" w:hAnsiTheme="minorEastAsia" w:eastAsiaTheme="minorEastAsia" w:cstheme="minorEastAsia"/>
          <w:kern w:val="0"/>
          <w:szCs w:val="21"/>
        </w:rPr>
        <w:t>ALP）显著升高；</w:t>
      </w:r>
    </w:p>
    <w:p>
      <w:pPr>
        <w:pStyle w:val="20"/>
        <w:numPr>
          <w:ilvl w:val="0"/>
          <w:numId w:val="18"/>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出现继发性胆汁性肝硬化和门静脉高压。</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严重自身免疫性肝炎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身免疫性肝炎是一种原因不明的慢性肝脏的坏死性炎性疾病，机体免疫机制被破坏，产生针对肝脏自身抗原的抗体导致自身免疫反应，从而破坏肝细胞造成肝脏炎症坏死，进而发展为肝硬化。必须满足下列所有条件：</w:t>
      </w:r>
    </w:p>
    <w:p>
      <w:pPr>
        <w:pStyle w:val="20"/>
        <w:numPr>
          <w:ilvl w:val="0"/>
          <w:numId w:val="19"/>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高γ球蛋白血症；</w:t>
      </w:r>
    </w:p>
    <w:p>
      <w:pPr>
        <w:pStyle w:val="20"/>
        <w:numPr>
          <w:ilvl w:val="0"/>
          <w:numId w:val="19"/>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血液中存在高水平的自身免疫抗体，如</w:t>
      </w:r>
      <w:r>
        <w:rPr>
          <w:rFonts w:asciiTheme="minorEastAsia" w:hAnsiTheme="minorEastAsia" w:eastAsiaTheme="minorEastAsia" w:cstheme="minorEastAsia"/>
          <w:kern w:val="0"/>
          <w:szCs w:val="21"/>
        </w:rPr>
        <w:t>ANA（抗核抗体）、SMA（抗平滑肌抗体）、抗LKM1抗体或抗-SLA/LP抗体；</w:t>
      </w:r>
    </w:p>
    <w:p>
      <w:pPr>
        <w:pStyle w:val="20"/>
        <w:numPr>
          <w:ilvl w:val="0"/>
          <w:numId w:val="19"/>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肝脏活检确诊免疫性肝炎；</w:t>
      </w:r>
    </w:p>
    <w:p>
      <w:pPr>
        <w:pStyle w:val="20"/>
        <w:numPr>
          <w:ilvl w:val="0"/>
          <w:numId w:val="19"/>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临床已经出现腹水、食道静脉曲张和脾肿大等肝硬化表现。</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原发性骨髓纤维化（</w:t>
      </w:r>
      <w:r>
        <w:rPr>
          <w:rFonts w:asciiTheme="minorEastAsia" w:hAnsiTheme="minorEastAsia" w:eastAsiaTheme="minorEastAsia" w:cstheme="minorEastAsia"/>
          <w:b/>
          <w:bCs/>
          <w:szCs w:val="21"/>
        </w:rPr>
        <w:t>PMF）</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原发性骨髓纤维化以骨髓纤维增生和髓外造血为特点，表现为进行性贫血、脾肿大、外周血幼稚细胞等等。</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被保险人须经由骨髓活检明确诊断为原发性骨髓纤维化，并满足下列所有条件且持续</w:t>
      </w:r>
      <w:r>
        <w:rPr>
          <w:rFonts w:asciiTheme="minorEastAsia" w:hAnsiTheme="minorEastAsia" w:eastAsiaTheme="minorEastAsia" w:cstheme="minorEastAsia"/>
          <w:szCs w:val="21"/>
        </w:rPr>
        <w:t>180天：</w:t>
      </w:r>
    </w:p>
    <w:p>
      <w:pPr>
        <w:pStyle w:val="20"/>
        <w:numPr>
          <w:ilvl w:val="0"/>
          <w:numId w:val="20"/>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血红蛋白</w:t>
      </w:r>
      <w:r>
        <w:rPr>
          <w:rFonts w:asciiTheme="minorEastAsia" w:hAnsiTheme="minorEastAsia" w:eastAsiaTheme="minorEastAsia" w:cstheme="minorEastAsia"/>
          <w:kern w:val="0"/>
          <w:szCs w:val="21"/>
        </w:rPr>
        <w:t>&lt;100g/l；</w:t>
      </w:r>
    </w:p>
    <w:p>
      <w:pPr>
        <w:pStyle w:val="20"/>
        <w:numPr>
          <w:ilvl w:val="0"/>
          <w:numId w:val="20"/>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白细胞计数</w:t>
      </w:r>
      <w:r>
        <w:rPr>
          <w:rFonts w:asciiTheme="minorEastAsia" w:hAnsiTheme="minorEastAsia" w:eastAsiaTheme="minorEastAsia" w:cstheme="minorEastAsia"/>
          <w:kern w:val="0"/>
          <w:szCs w:val="21"/>
        </w:rPr>
        <w:t>&gt;25x10</w:t>
      </w:r>
      <w:r>
        <w:rPr>
          <w:rFonts w:asciiTheme="minorEastAsia" w:hAnsiTheme="minorEastAsia" w:eastAsiaTheme="minorEastAsia" w:cstheme="minorEastAsia"/>
          <w:kern w:val="0"/>
          <w:szCs w:val="21"/>
          <w:vertAlign w:val="superscript"/>
        </w:rPr>
        <w:t>9</w:t>
      </w:r>
      <w:r>
        <w:rPr>
          <w:rFonts w:asciiTheme="minorEastAsia" w:hAnsiTheme="minorEastAsia" w:eastAsiaTheme="minorEastAsia" w:cstheme="minorEastAsia"/>
          <w:kern w:val="0"/>
          <w:szCs w:val="21"/>
        </w:rPr>
        <w:t>/l；</w:t>
      </w:r>
    </w:p>
    <w:p>
      <w:pPr>
        <w:pStyle w:val="20"/>
        <w:numPr>
          <w:ilvl w:val="0"/>
          <w:numId w:val="20"/>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外周血原始细胞≥</w:t>
      </w:r>
      <w:r>
        <w:rPr>
          <w:rFonts w:asciiTheme="minorEastAsia" w:hAnsiTheme="minorEastAsia" w:eastAsiaTheme="minorEastAsia" w:cstheme="minorEastAsia"/>
          <w:kern w:val="0"/>
          <w:szCs w:val="21"/>
        </w:rPr>
        <w:t>1%；</w:t>
      </w:r>
    </w:p>
    <w:p>
      <w:pPr>
        <w:pStyle w:val="20"/>
        <w:numPr>
          <w:ilvl w:val="0"/>
          <w:numId w:val="20"/>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血小板计数</w:t>
      </w:r>
      <w:r>
        <w:rPr>
          <w:rFonts w:asciiTheme="minorEastAsia" w:hAnsiTheme="minorEastAsia" w:eastAsiaTheme="minorEastAsia" w:cstheme="minorEastAsia"/>
          <w:kern w:val="0"/>
          <w:szCs w:val="21"/>
        </w:rPr>
        <w:t>&lt;100x10</w:t>
      </w:r>
      <w:r>
        <w:rPr>
          <w:rFonts w:asciiTheme="minorEastAsia" w:hAnsiTheme="minorEastAsia" w:eastAsiaTheme="minorEastAsia" w:cstheme="minorEastAsia"/>
          <w:kern w:val="0"/>
          <w:szCs w:val="21"/>
          <w:vertAlign w:val="superscript"/>
        </w:rPr>
        <w:t>9</w:t>
      </w:r>
      <w:r>
        <w:rPr>
          <w:rFonts w:asciiTheme="minorEastAsia" w:hAnsiTheme="minorEastAsia" w:eastAsiaTheme="minorEastAsia" w:cstheme="minorEastAsia"/>
          <w:kern w:val="0"/>
          <w:szCs w:val="21"/>
        </w:rPr>
        <w:t>/l。</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恶性肿瘤、中毒、放射线和感染所致的继发性骨髓纤维化不在保障范围内。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严重骨髓增生异常综合征（</w:t>
      </w:r>
      <w:r>
        <w:rPr>
          <w:rFonts w:asciiTheme="minorEastAsia" w:hAnsiTheme="minorEastAsia" w:eastAsiaTheme="minorEastAsia" w:cstheme="minorEastAsia"/>
          <w:b/>
          <w:bCs/>
          <w:szCs w:val="21"/>
        </w:rPr>
        <w:t>MDS）</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骨髓增生异常综合征是起源于造血干细胞的一组骨髓克隆异常的疾病，表现为无效造血、难治性血细胞减少，有转化为急性髓系白血病的风险。</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被保险人须经由外周血和骨髓活检明确诊断为骨髓增生异常综合征，并且满足下列所有条件：</w:t>
      </w:r>
    </w:p>
    <w:p>
      <w:pPr>
        <w:pStyle w:val="20"/>
        <w:numPr>
          <w:ilvl w:val="0"/>
          <w:numId w:val="21"/>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根据</w:t>
      </w:r>
      <w:r>
        <w:rPr>
          <w:rFonts w:asciiTheme="minorEastAsia" w:hAnsiTheme="minorEastAsia" w:eastAsiaTheme="minorEastAsia" w:cstheme="minorEastAsia"/>
          <w:kern w:val="0"/>
          <w:szCs w:val="21"/>
        </w:rPr>
        <w:t>WHO分型，分型为难治性贫血伴原始细胞增多（RAEB）；</w:t>
      </w:r>
    </w:p>
    <w:p>
      <w:pPr>
        <w:pStyle w:val="20"/>
        <w:numPr>
          <w:ilvl w:val="0"/>
          <w:numId w:val="21"/>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根据“骨髓增生异常综合征修订国际预后积分系统（</w:t>
      </w:r>
      <w:r>
        <w:rPr>
          <w:rFonts w:asciiTheme="minorEastAsia" w:hAnsiTheme="minorEastAsia" w:eastAsiaTheme="minorEastAsia" w:cstheme="minorEastAsia"/>
          <w:kern w:val="0"/>
          <w:szCs w:val="21"/>
        </w:rPr>
        <w:t>IPSS-R）”积分≥3，属于中危及以上组。</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严重急性主动脉夹层血肿</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指主动脉壁在受到某些病理因素破坏后，高速、高压的主动脉血流将其内膜撕裂，以致主动脉腔内的血流通过主动脉内膜的破裂口进入主动脉内壁而形成血肿。被保险人需有典型的临床表现并通过电脑断层扫描（</w:t>
      </w:r>
      <w:r>
        <w:rPr>
          <w:rFonts w:asciiTheme="minorEastAsia" w:hAnsiTheme="minorEastAsia" w:eastAsiaTheme="minorEastAsia" w:cstheme="minorEastAsia"/>
          <w:szCs w:val="21"/>
        </w:rPr>
        <w:t>CT）、磁共振扫描（MRI）、磁共振血管检验法（MRA）或血管扫描等检查明确诊断，并在急性期内（发病两周内）实际接受了传统或微创开胸或开腹主动脉手术。</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慢性期主动脉夹层择期手术、经导管主动脉内介入手术治疗不在保障范围内。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严重缩窄性心包炎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由于慢性心包炎症导致心包脏层和壁层广泛瘢痕粘连、增厚和钙化，心包腔闭塞，形成一个纤维瘢痕外壳，使心脏和大血管根部受压，阻碍心脏的舒张。慢性缩窄性心包炎必须被明确诊断并且满足下列所有条件：</w:t>
      </w:r>
    </w:p>
    <w:p>
      <w:pPr>
        <w:pStyle w:val="20"/>
        <w:numPr>
          <w:ilvl w:val="0"/>
          <w:numId w:val="22"/>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心功能衰竭达到美国纽约心脏病学会心功能状态分级</w:t>
      </w:r>
      <w:r>
        <w:rPr>
          <w:rFonts w:asciiTheme="minorEastAsia" w:hAnsiTheme="minorEastAsia" w:eastAsiaTheme="minorEastAsia" w:cstheme="minorEastAsia"/>
          <w:kern w:val="0"/>
          <w:szCs w:val="21"/>
        </w:rPr>
        <w:t>IV级，并持续180天以上；</w:t>
      </w:r>
    </w:p>
    <w:p>
      <w:pPr>
        <w:pStyle w:val="20"/>
        <w:numPr>
          <w:ilvl w:val="0"/>
          <w:numId w:val="22"/>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已经接受了经下列任何一种手术路径进行的开胸心包剥离手术或心包切除手术。</w:t>
      </w:r>
    </w:p>
    <w:p>
      <w:pPr>
        <w:pStyle w:val="21"/>
        <w:numPr>
          <w:ilvl w:val="1"/>
          <w:numId w:val="23"/>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胸骨正中切口；</w:t>
      </w:r>
    </w:p>
    <w:p>
      <w:pPr>
        <w:pStyle w:val="21"/>
        <w:numPr>
          <w:ilvl w:val="1"/>
          <w:numId w:val="23"/>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双侧前胸切口；</w:t>
      </w:r>
    </w:p>
    <w:p>
      <w:pPr>
        <w:pStyle w:val="21"/>
        <w:numPr>
          <w:ilvl w:val="1"/>
          <w:numId w:val="23"/>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左前胸肋间切口。</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经胸腔镜、胸壁打孔进行的手术、心包粘连松解手术不在保障范围内。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心脏黏液瘤</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指为了治疗心脏黏液瘤，实际实施了开胸开心心脏黏液瘤切除手术。</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经导管介入手术治疗不在保障范围内。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严重心脏衰竭</w:t>
      </w:r>
      <w:r>
        <w:rPr>
          <w:rFonts w:asciiTheme="minorEastAsia" w:hAnsiTheme="minorEastAsia" w:eastAsiaTheme="minorEastAsia" w:cstheme="minorEastAsia"/>
          <w:b/>
          <w:bCs/>
          <w:szCs w:val="21"/>
        </w:rPr>
        <w:t>CRT心脏同步治疗</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指因缺血性心脏病或扩张性心肌病导致慢性严重心脏衰竭，被保险人实际接受了</w:t>
      </w:r>
      <w:r>
        <w:rPr>
          <w:rFonts w:asciiTheme="minorEastAsia" w:hAnsiTheme="minorEastAsia" w:eastAsiaTheme="minorEastAsia" w:cstheme="minorEastAsia"/>
          <w:szCs w:val="21"/>
        </w:rPr>
        <w:t>CRT治疗，以矫正心室收缩不协调和改善心脏功能。接受治疗之前必须满足下列所有条件：</w:t>
      </w:r>
    </w:p>
    <w:p>
      <w:pPr>
        <w:pStyle w:val="20"/>
        <w:numPr>
          <w:ilvl w:val="0"/>
          <w:numId w:val="2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心功能衰竭程度达到纽约心脏病学会的心功能分级标准之心功能</w:t>
      </w:r>
      <w:r>
        <w:rPr>
          <w:rFonts w:asciiTheme="minorEastAsia" w:hAnsiTheme="minorEastAsia" w:eastAsiaTheme="minorEastAsia" w:cstheme="minorEastAsia"/>
          <w:kern w:val="0"/>
          <w:szCs w:val="21"/>
        </w:rPr>
        <w:t>III级或IV级；</w:t>
      </w:r>
    </w:p>
    <w:p>
      <w:pPr>
        <w:pStyle w:val="20"/>
        <w:numPr>
          <w:ilvl w:val="0"/>
          <w:numId w:val="2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左室射血分数低于</w:t>
      </w:r>
      <w:r>
        <w:rPr>
          <w:rFonts w:asciiTheme="minorEastAsia" w:hAnsiTheme="minorEastAsia" w:eastAsiaTheme="minorEastAsia" w:cstheme="minorEastAsia"/>
          <w:kern w:val="0"/>
          <w:szCs w:val="21"/>
        </w:rPr>
        <w:t>35%；</w:t>
      </w:r>
    </w:p>
    <w:p>
      <w:pPr>
        <w:pStyle w:val="20"/>
        <w:numPr>
          <w:ilvl w:val="0"/>
          <w:numId w:val="2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左室舒张末期内径≥</w:t>
      </w:r>
      <w:r>
        <w:rPr>
          <w:rFonts w:asciiTheme="minorEastAsia" w:hAnsiTheme="minorEastAsia" w:eastAsiaTheme="minorEastAsia" w:cstheme="minorEastAsia"/>
          <w:kern w:val="0"/>
          <w:szCs w:val="21"/>
        </w:rPr>
        <w:t>55mm；</w:t>
      </w:r>
    </w:p>
    <w:p>
      <w:pPr>
        <w:pStyle w:val="20"/>
        <w:numPr>
          <w:ilvl w:val="0"/>
          <w:numId w:val="2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rPr>
        <w:t>QRS时间≥130msec；</w:t>
      </w:r>
    </w:p>
    <w:p>
      <w:pPr>
        <w:pStyle w:val="20"/>
        <w:numPr>
          <w:ilvl w:val="0"/>
          <w:numId w:val="24"/>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药物治疗效果不佳，仍有症状。</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完全性房室传导阻滞</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指因慢性心脏疾病导致</w:t>
      </w:r>
      <w:r>
        <w:rPr>
          <w:rFonts w:asciiTheme="minorEastAsia" w:hAnsiTheme="minorEastAsia" w:eastAsiaTheme="minorEastAsia" w:cstheme="minorEastAsia"/>
          <w:szCs w:val="21"/>
        </w:rPr>
        <w:t>III度或完全性房室传导阻滞。完全性房室传导阻滞是心房的激动不能正常地传导到心室，造成心室率过于缓慢，出现心力衰竭和因大脑供血不足导致的晕厥、阿-斯综合征。必须明确诊断并且满足下列所有条件：</w:t>
      </w:r>
    </w:p>
    <w:p>
      <w:pPr>
        <w:pStyle w:val="20"/>
        <w:numPr>
          <w:ilvl w:val="0"/>
          <w:numId w:val="2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患有慢性心脏疾病；</w:t>
      </w:r>
    </w:p>
    <w:p>
      <w:pPr>
        <w:pStyle w:val="20"/>
        <w:numPr>
          <w:ilvl w:val="0"/>
          <w:numId w:val="2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曾经有晕厥、阿</w:t>
      </w:r>
      <w:r>
        <w:rPr>
          <w:rFonts w:asciiTheme="minorEastAsia" w:hAnsiTheme="minorEastAsia" w:eastAsiaTheme="minorEastAsia" w:cstheme="minorEastAsia"/>
          <w:kern w:val="0"/>
          <w:szCs w:val="21"/>
        </w:rPr>
        <w:t>-斯综合征发作；</w:t>
      </w:r>
    </w:p>
    <w:p>
      <w:pPr>
        <w:pStyle w:val="20"/>
        <w:numPr>
          <w:ilvl w:val="0"/>
          <w:numId w:val="2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心电图表现为持续室性逸搏心律，心室率持续低于</w:t>
      </w:r>
      <w:r>
        <w:rPr>
          <w:rFonts w:asciiTheme="minorEastAsia" w:hAnsiTheme="minorEastAsia" w:eastAsiaTheme="minorEastAsia" w:cstheme="minorEastAsia"/>
          <w:kern w:val="0"/>
          <w:szCs w:val="21"/>
        </w:rPr>
        <w:t>40次/分；</w:t>
      </w:r>
    </w:p>
    <w:p>
      <w:pPr>
        <w:pStyle w:val="20"/>
        <w:numPr>
          <w:ilvl w:val="0"/>
          <w:numId w:val="25"/>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已经植入永久性心脏起搏器。</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头臂动脉型多发性大动脉炎旁路移植手术</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多发性大动脉炎（高安氏动脉炎）是一种发生在主动脉和其主要分支的慢性炎症性动脉疾病，表现为受累动脉狭窄或闭塞。头臂动脉型多发性大动脉炎是指多发性大动脉炎头臂动脉型（</w:t>
      </w:r>
      <w:r>
        <w:rPr>
          <w:rFonts w:asciiTheme="minorEastAsia" w:hAnsiTheme="minorEastAsia" w:eastAsiaTheme="minorEastAsia" w:cstheme="minorEastAsia"/>
          <w:szCs w:val="21"/>
        </w:rPr>
        <w:t>I型），</w:t>
      </w:r>
      <w:r>
        <w:rPr>
          <w:rFonts w:hint="eastAsia" w:asciiTheme="minorEastAsia" w:hAnsiTheme="minorEastAsia" w:eastAsiaTheme="minorEastAsia" w:cstheme="minorEastAsia"/>
          <w:szCs w:val="21"/>
        </w:rPr>
        <w:t>又称为无脉症。被保险人被明确诊断为头臂动脉型多发性大动脉炎并且实际接受了经胸部切开进行的无名动脉（头臂干）、颈总动脉、锁骨下动脉旁路移植手术。</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肺淋巴管肌瘤病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肺淋巴管肌瘤病是一种弥漫性肺部疾病，其特征性病理表现为囊性病变及不成熟的平滑肌细胞和血管周上皮细胞异常增生形成多发结节。必须满足下列全部条件：</w:t>
      </w:r>
    </w:p>
    <w:p>
      <w:pPr>
        <w:pStyle w:val="20"/>
        <w:numPr>
          <w:ilvl w:val="0"/>
          <w:numId w:val="26"/>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经组织病理学检查明确诊断；</w:t>
      </w:r>
    </w:p>
    <w:p>
      <w:pPr>
        <w:pStyle w:val="20"/>
        <w:numPr>
          <w:ilvl w:val="0"/>
          <w:numId w:val="26"/>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asciiTheme="minorEastAsia" w:hAnsiTheme="minorEastAsia" w:eastAsiaTheme="minorEastAsia" w:cstheme="minorEastAsia"/>
          <w:kern w:val="0"/>
          <w:szCs w:val="21"/>
        </w:rPr>
        <w:t>CT显示双肺弥漫性囊性改变；</w:t>
      </w:r>
    </w:p>
    <w:p>
      <w:pPr>
        <w:pStyle w:val="20"/>
        <w:numPr>
          <w:ilvl w:val="0"/>
          <w:numId w:val="26"/>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肺功能检查显示</w:t>
      </w:r>
      <w:r>
        <w:rPr>
          <w:rFonts w:asciiTheme="minorEastAsia" w:hAnsiTheme="minorEastAsia" w:eastAsiaTheme="minorEastAsia" w:cstheme="minorEastAsia"/>
          <w:kern w:val="0"/>
          <w:szCs w:val="21"/>
        </w:rPr>
        <w:t>FEV1和DLCO（CO弥散功能）下降；</w:t>
      </w:r>
    </w:p>
    <w:p>
      <w:pPr>
        <w:pStyle w:val="20"/>
        <w:numPr>
          <w:ilvl w:val="0"/>
          <w:numId w:val="2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动脉血气分析显示低氧血症。</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疑似肺淋巴管肌瘤病除外。</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严重肺结节病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结节病是一种原因未明的慢性肉芽肿病，可侵犯全身多个器官，以肺和淋巴结受累最为常见。严重肺结节病表现为肺的广泛纤维化导致慢性呼吸功能衰竭。必须满足下列所有条件：</w:t>
      </w:r>
    </w:p>
    <w:p>
      <w:pPr>
        <w:pStyle w:val="20"/>
        <w:numPr>
          <w:ilvl w:val="0"/>
          <w:numId w:val="27"/>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kern w:val="0"/>
          <w:szCs w:val="21"/>
        </w:rPr>
        <w:t>肺结节病的</w:t>
      </w:r>
      <w:r>
        <w:rPr>
          <w:rFonts w:asciiTheme="minorEastAsia" w:hAnsiTheme="minorEastAsia" w:eastAsiaTheme="minorEastAsia" w:cstheme="minorEastAsia"/>
          <w:kern w:val="0"/>
          <w:szCs w:val="21"/>
        </w:rPr>
        <w:t>X线分期为IV期，即广泛肺纤维化；</w:t>
      </w:r>
    </w:p>
    <w:p>
      <w:pPr>
        <w:pStyle w:val="20"/>
        <w:numPr>
          <w:ilvl w:val="0"/>
          <w:numId w:val="27"/>
        </w:numPr>
        <w:autoSpaceDE w:val="0"/>
        <w:autoSpaceDN w:val="0"/>
        <w:adjustRightInd w:val="0"/>
        <w:snapToGrid w:val="0"/>
        <w:spacing w:line="360" w:lineRule="auto"/>
        <w:ind w:left="0" w:firstLine="42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永久不可逆性的慢性呼吸功能衰竭，临床持续</w:t>
      </w:r>
      <w:r>
        <w:rPr>
          <w:rFonts w:asciiTheme="minorEastAsia" w:hAnsiTheme="minorEastAsia" w:eastAsiaTheme="minorEastAsia" w:cstheme="minorEastAsia"/>
          <w:kern w:val="0"/>
          <w:szCs w:val="21"/>
        </w:rPr>
        <w:t>180天动脉血氧分压（PaO</w:t>
      </w:r>
      <w:r>
        <w:rPr>
          <w:rFonts w:asciiTheme="minorEastAsia" w:hAnsiTheme="minorEastAsia" w:eastAsiaTheme="minorEastAsia" w:cstheme="minorEastAsia"/>
          <w:kern w:val="0"/>
          <w:szCs w:val="21"/>
          <w:vertAlign w:val="subscript"/>
        </w:rPr>
        <w:t>2</w:t>
      </w:r>
      <w:r>
        <w:rPr>
          <w:rFonts w:hint="eastAsia" w:asciiTheme="minorEastAsia" w:hAnsiTheme="minorEastAsia" w:eastAsiaTheme="minorEastAsia" w:cstheme="minorEastAsia"/>
          <w:kern w:val="0"/>
          <w:szCs w:val="21"/>
        </w:rPr>
        <w:t>）</w:t>
      </w:r>
      <w:r>
        <w:rPr>
          <w:rFonts w:asciiTheme="minorEastAsia" w:hAnsiTheme="minorEastAsia" w:eastAsiaTheme="minorEastAsia" w:cstheme="minorEastAsia"/>
          <w:kern w:val="0"/>
          <w:szCs w:val="21"/>
        </w:rPr>
        <w:t>&lt;50mmHg和动脉血氧饱和度（SaO</w:t>
      </w:r>
      <w:r>
        <w:rPr>
          <w:rFonts w:asciiTheme="minorEastAsia" w:hAnsiTheme="minorEastAsia" w:eastAsiaTheme="minorEastAsia" w:cstheme="minorEastAsia"/>
          <w:kern w:val="0"/>
          <w:szCs w:val="21"/>
          <w:vertAlign w:val="subscript"/>
        </w:rPr>
        <w:t>2</w:t>
      </w:r>
      <w:r>
        <w:rPr>
          <w:rFonts w:hint="eastAsia" w:asciiTheme="minorEastAsia" w:hAnsiTheme="minorEastAsia" w:eastAsiaTheme="minorEastAsia" w:cstheme="minorEastAsia"/>
          <w:kern w:val="0"/>
          <w:szCs w:val="21"/>
        </w:rPr>
        <w:t>）</w:t>
      </w:r>
      <w:r>
        <w:rPr>
          <w:rFonts w:asciiTheme="minorEastAsia" w:hAnsiTheme="minorEastAsia" w:eastAsiaTheme="minorEastAsia" w:cstheme="minorEastAsia"/>
          <w:kern w:val="0"/>
          <w:szCs w:val="21"/>
        </w:rPr>
        <w:t>&lt;80%。</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非阿尔茨海默病致严重痴呆</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阿尔茨海默病以外的脑的器质性疾病造成脑功能衰竭导致永久不可逆性的严重痴呆，临床表现为明显的认知能力障碍、行为异常和社交能力减退。被保险人自主生活能力完全丧失，无法独立完成六项基本日常生活活动中的三项或三项以上，日常生活必须持续受到他人监护。</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导致痴呆的疾病必须明确诊断，并且由完整的临床、实验室和影像学检查结果证实。</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神经官能症</w:t>
      </w:r>
      <w:r>
        <w:rPr>
          <w:rFonts w:asciiTheme="minorEastAsia" w:hAnsiTheme="minorEastAsia" w:eastAsiaTheme="minorEastAsia" w:cstheme="minorEastAsia"/>
          <w:b/>
          <w:bCs/>
          <w:szCs w:val="21"/>
        </w:rPr>
        <w:t>,精神疾病及酒精中毒所致脑损害不在保障范围内。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进行性核上性麻痹</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进行性核上性麻痹是中枢神经系统变性疾病，临床表现为眼球运动障碍、假性球麻痹、帕金森综合征等被保险人自主生活能力完全丧失，无法独立完成六项基本日常生活活动中的三项或三项以上</w:t>
      </w:r>
      <w:r>
        <w:rPr>
          <w:rFonts w:asciiTheme="minorEastAsia" w:hAnsiTheme="minorEastAsia" w:eastAsiaTheme="minorEastAsia" w:cstheme="minorEastAsia"/>
          <w:szCs w:val="21"/>
        </w:rPr>
        <w:t>,日常生活必须持续受到他人监护。</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亚急性硬化性全脑炎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是麻疹或麻疹样病毒所致的一种中枢神经系统慢病毒感染。中枢神经系统呈现灰质和白质破坏为特征的慢性和急性混合存在的炎症。必须满足下列所有条件：</w:t>
      </w:r>
    </w:p>
    <w:p>
      <w:pPr>
        <w:pStyle w:val="20"/>
        <w:numPr>
          <w:ilvl w:val="0"/>
          <w:numId w:val="28"/>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必须由三级医院诊断，临床检查证实脑电图存在周期性复合波、脑脊液</w:t>
      </w:r>
      <w:r>
        <w:rPr>
          <w:rFonts w:ascii="Times New Roman" w:hAnsi="Times New Roman" w:eastAsiaTheme="minorEastAsia"/>
          <w:szCs w:val="21"/>
        </w:rPr>
        <w:t>Ƴ</w:t>
      </w:r>
      <w:r>
        <w:rPr>
          <w:rFonts w:asciiTheme="minorEastAsia" w:hAnsiTheme="minorEastAsia" w:eastAsiaTheme="minorEastAsia" w:cstheme="minorEastAsia"/>
          <w:szCs w:val="21"/>
        </w:rPr>
        <w:t>-球蛋白升高、脑脊液和血清中麻疹抗体滴定度升高；</w:t>
      </w:r>
    </w:p>
    <w:p>
      <w:pPr>
        <w:pStyle w:val="20"/>
        <w:numPr>
          <w:ilvl w:val="0"/>
          <w:numId w:val="28"/>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被保险人出现运动障碍，永久不可逆丧失自主生活能力，无法独立完成六项基本日常生活活动中的三项或三项以上。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进行性多灶性白质脑病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是一种亚急性脱髓鞘脑病，常常发生于免疫缺陷病人。必须满足下列所有条件：</w:t>
      </w:r>
    </w:p>
    <w:p>
      <w:pPr>
        <w:pStyle w:val="20"/>
        <w:numPr>
          <w:ilvl w:val="0"/>
          <w:numId w:val="29"/>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根据脑组织活检确诊；</w:t>
      </w:r>
    </w:p>
    <w:p>
      <w:pPr>
        <w:pStyle w:val="20"/>
        <w:numPr>
          <w:ilvl w:val="0"/>
          <w:numId w:val="29"/>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永久不可逆丧失自主生活能力，无法独立完成六项基本日常生活活动中的三项或三项以上。</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进行性多灶性白质脑病必须在生前诊断，尸检诊断不作为理赔依据。</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丧失独立生活能力（</w:t>
      </w:r>
      <w:r>
        <w:rPr>
          <w:rFonts w:asciiTheme="minorEastAsia" w:hAnsiTheme="minorEastAsia" w:eastAsiaTheme="minorEastAsia" w:cstheme="minorEastAsia"/>
          <w:b/>
          <w:bCs/>
          <w:szCs w:val="21"/>
        </w:rPr>
        <w:t>6周岁始理赔）</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指由于疾病或外伤导致被保险人永久不可逆的完全丧失独立生活能力，无法独立完成基本日常生活活动中的四项或四项以上。</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被保险人理赔时年龄在</w:t>
      </w:r>
      <w:r>
        <w:rPr>
          <w:rFonts w:asciiTheme="minorEastAsia" w:hAnsiTheme="minorEastAsia" w:eastAsiaTheme="minorEastAsia" w:cstheme="minorEastAsia"/>
          <w:b/>
          <w:bCs/>
          <w:szCs w:val="21"/>
        </w:rPr>
        <w:t>6周岁以上。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脊髓灰质炎后遗症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脊髓灰质炎是由于脊髓灰质炎病毒感染所致的瘫痪性疾病，临床表现为运动功能损害或呼吸无力。脊髓灰质炎必须明确诊断。本保单仅对脊髓灰质炎造成的神经系统功能损害导致被保险人一肢或一肢以上肢体机能永久完全丧失的情况予以理赔。</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脊髓内肿瘤</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指脊髓内良性或恶性肿瘤。肿瘤造成脊髓损害导致瘫痪。须满足下列所有条件：</w:t>
      </w:r>
    </w:p>
    <w:p>
      <w:pPr>
        <w:pStyle w:val="20"/>
        <w:numPr>
          <w:ilvl w:val="0"/>
          <w:numId w:val="3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被保险人实际接受了肿瘤切除的手术治疗；</w:t>
      </w:r>
    </w:p>
    <w:p>
      <w:pPr>
        <w:pStyle w:val="20"/>
        <w:numPr>
          <w:ilvl w:val="0"/>
          <w:numId w:val="3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手术</w:t>
      </w:r>
      <w:r>
        <w:rPr>
          <w:rFonts w:asciiTheme="minorEastAsia" w:hAnsiTheme="minorEastAsia" w:eastAsiaTheme="minorEastAsia" w:cstheme="minorEastAsia"/>
          <w:szCs w:val="21"/>
        </w:rPr>
        <w:t>180天后遗留下列神经系统损害，无法独立完成下列基本日常生活活动之一：</w:t>
      </w:r>
    </w:p>
    <w:p>
      <w:pPr>
        <w:pStyle w:val="21"/>
        <w:numPr>
          <w:ilvl w:val="0"/>
          <w:numId w:val="31"/>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移动：自己从一个房间到另一个房间；</w:t>
      </w:r>
    </w:p>
    <w:p>
      <w:pPr>
        <w:pStyle w:val="21"/>
        <w:numPr>
          <w:ilvl w:val="0"/>
          <w:numId w:val="31"/>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进食：自己从已准备好的碗或碟中取食物放入口中。</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非脊髓内的其他椎管内肿瘤、脊柱肿瘤、神经纤维瘤不在保障范围内。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脊髓空洞症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脊髓空洞症为慢性进行性的脊髓变性性疾病，其特征为脊髓内空洞形成。表现为感觉异常、肌萎缩及神经营养障碍。脊髓空洞症累及延髓的称为延髓空洞症，表现为延髓麻痹。脊髓空洞症必须明确诊断并且造成永久不可逆的神经系统功能障碍，存在持续至少</w:t>
      </w:r>
      <w:r>
        <w:rPr>
          <w:rFonts w:asciiTheme="minorEastAsia" w:hAnsiTheme="minorEastAsia" w:eastAsiaTheme="minorEastAsia" w:cstheme="minorEastAsia"/>
          <w:szCs w:val="21"/>
        </w:rPr>
        <w:t>180天以上的神经系统功能缺失并满足下列条件之一：</w:t>
      </w:r>
    </w:p>
    <w:p>
      <w:pPr>
        <w:pStyle w:val="20"/>
        <w:numPr>
          <w:ilvl w:val="0"/>
          <w:numId w:val="3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延髓麻痹呈现显著舌肌萎缩、构音困难和吞咽困难；</w:t>
      </w:r>
    </w:p>
    <w:p>
      <w:pPr>
        <w:pStyle w:val="20"/>
        <w:numPr>
          <w:ilvl w:val="0"/>
          <w:numId w:val="3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双手萎缩呈“爪形手”，肌力</w:t>
      </w:r>
      <w:r>
        <w:rPr>
          <w:rFonts w:asciiTheme="minorEastAsia" w:hAnsiTheme="minorEastAsia" w:eastAsiaTheme="minorEastAsia" w:cstheme="minorEastAsia"/>
          <w:szCs w:val="21"/>
        </w:rPr>
        <w:t>2级或以下。</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脊髓血管病后遗症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指脊髓血管的突发病变引起脊髓梗塞或脊髓出血，导致永久性不可逆的神经系统功能损害，表现为截瘫或四肢瘫。神经系统永久性的功能障碍指疾病确诊</w:t>
      </w:r>
      <w:r>
        <w:rPr>
          <w:rFonts w:asciiTheme="minorEastAsia" w:hAnsiTheme="minorEastAsia" w:eastAsiaTheme="minorEastAsia" w:cstheme="minorEastAsia"/>
          <w:szCs w:val="21"/>
        </w:rPr>
        <w:t>180天后，仍然遗留后遗症并且无法独立完成下列基本日常生活活动之一：</w:t>
      </w:r>
    </w:p>
    <w:p>
      <w:pPr>
        <w:pStyle w:val="20"/>
        <w:numPr>
          <w:ilvl w:val="0"/>
          <w:numId w:val="3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移动：自己从一个房间到另一个房间；</w:t>
      </w:r>
    </w:p>
    <w:p>
      <w:pPr>
        <w:pStyle w:val="20"/>
        <w:numPr>
          <w:ilvl w:val="0"/>
          <w:numId w:val="3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进食：自己从已准备好的碗或碟中取食物放入口中。</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横贯性脊髓炎后遗症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脊髓炎是一种炎症性脊髓疾病。横贯性脊髓炎是指炎症扩展横贯整个脊髓，表现为运动障碍、感觉障碍和自主神经功能障碍。横断性脊髓炎必须明确诊断，并且已经造成永久不可逆的神经系统功能损害。永久不可逆的神经系统损害指被保险人持续</w:t>
      </w:r>
      <w:r>
        <w:rPr>
          <w:rFonts w:asciiTheme="minorEastAsia" w:hAnsiTheme="minorEastAsia" w:eastAsiaTheme="minorEastAsia" w:cstheme="minorEastAsia"/>
          <w:szCs w:val="21"/>
        </w:rPr>
        <w:t>180天无法独立完成下列任何一项基本日常生活活动：</w:t>
      </w:r>
    </w:p>
    <w:p>
      <w:pPr>
        <w:pStyle w:val="20"/>
        <w:numPr>
          <w:ilvl w:val="0"/>
          <w:numId w:val="3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移动：自己从一个房间到另一个房间；</w:t>
      </w:r>
    </w:p>
    <w:p>
      <w:pPr>
        <w:pStyle w:val="20"/>
        <w:numPr>
          <w:ilvl w:val="0"/>
          <w:numId w:val="3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进食：自己从已准备好的碗或碟中取食物放入口中。</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严重哮喘</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严重哮喘诊断必须明确诊断，并且满足下列标准中的三项或三项以上：</w:t>
      </w:r>
    </w:p>
    <w:p>
      <w:pPr>
        <w:pStyle w:val="20"/>
        <w:numPr>
          <w:ilvl w:val="0"/>
          <w:numId w:val="3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过去两年中有哮喘持续状态（哮喘发作持续</w:t>
      </w:r>
      <w:r>
        <w:rPr>
          <w:rFonts w:asciiTheme="minorEastAsia" w:hAnsiTheme="minorEastAsia" w:eastAsiaTheme="minorEastAsia" w:cstheme="minorEastAsia"/>
          <w:szCs w:val="21"/>
        </w:rPr>
        <w:t>24小时以上不能缓解）医疗病史；</w:t>
      </w:r>
    </w:p>
    <w:p>
      <w:pPr>
        <w:pStyle w:val="20"/>
        <w:numPr>
          <w:ilvl w:val="0"/>
          <w:numId w:val="3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身体活动耐受能力显著且持续下降（轻微体力活动既有呼吸困难，至少持续</w:t>
      </w:r>
      <w:r>
        <w:rPr>
          <w:rFonts w:asciiTheme="minorEastAsia" w:hAnsiTheme="minorEastAsia" w:eastAsiaTheme="minorEastAsia" w:cstheme="minorEastAsia"/>
          <w:szCs w:val="21"/>
        </w:rPr>
        <w:t>6个月以上）；</w:t>
      </w:r>
    </w:p>
    <w:p>
      <w:pPr>
        <w:pStyle w:val="20"/>
        <w:numPr>
          <w:ilvl w:val="0"/>
          <w:numId w:val="3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慢性肺部过度膨胀充气导致的胸廓畸形；</w:t>
      </w:r>
    </w:p>
    <w:p>
      <w:pPr>
        <w:pStyle w:val="20"/>
        <w:numPr>
          <w:ilvl w:val="0"/>
          <w:numId w:val="3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持续每日口服皮质类固醇激素（至少持续六个月以上）。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严重强直性脊柱炎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强直性脊柱炎是一种慢性全身性炎性疾病，主要侵犯脊柱导致脊柱畸形。强直性脊柱炎必须明确诊断并且满足下列所有条件：</w:t>
      </w:r>
    </w:p>
    <w:p>
      <w:pPr>
        <w:pStyle w:val="20"/>
        <w:numPr>
          <w:ilvl w:val="0"/>
          <w:numId w:val="3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严重脊柱畸形；</w:t>
      </w:r>
    </w:p>
    <w:p>
      <w:pPr>
        <w:pStyle w:val="20"/>
        <w:numPr>
          <w:ilvl w:val="0"/>
          <w:numId w:val="3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自主生活能力完全丧失，无法独立完成六项基本日常生活活动中的三项或三项以上。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开颅手术</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指因外伤、颅内肿瘤或脑动脉瘤破裂，被保险人实际接受了在全麻下进行的颅骨切开手术，以清除脑内血肿、切除肿瘤或夹闭破裂动脉瘤的手术治疗。</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颅骨打孔手术、硬膜下血肿清除术、硬膜外血肿清除、未破裂动脉瘤预防性手术、动脉瘤栓塞手术、血管内手术、颅骨切开或切除减压术、脑积水脑脊液分流手术、经蝶骨肿瘤切除术及其他原因的开颅手术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系统性红斑狼疮性肾炎尿毒症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系统性红斑狼疮是由多种因素引起，累及多系统的自身免疫性疾病。其特点是生成自身抗体对抗多种自身抗原。多见于育龄妇女。</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本保单所指的系统性红斑狼疮仅限于累及肾脏（经肾脏活检确认的，符合</w:t>
      </w:r>
      <w:r>
        <w:rPr>
          <w:rFonts w:asciiTheme="minorEastAsia" w:hAnsiTheme="minorEastAsia" w:eastAsiaTheme="minorEastAsia" w:cstheme="minorEastAsia"/>
          <w:szCs w:val="21"/>
        </w:rPr>
        <w:t>WHO诊断标准定义III型或III型以上狼疮性肾炎）的系统性红斑狼疮，并且临床出现肾功能衰竭达到尿毒症期。</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其他类型的红斑性狼疮，如盘状狼疮、仅累及血液及关节的狼疮不在保单保障范围內。</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席汉氏综合征</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指因产后大出血并发休克、全身循环衰竭、弥漫性血管内凝血导致脑垂体缺血坏死和垂体分泌激素不足，造成性腺、甲状腺、肾上腺皮质功能减退。必须满足下列所有条件：</w:t>
      </w:r>
    </w:p>
    <w:p>
      <w:pPr>
        <w:pStyle w:val="20"/>
        <w:numPr>
          <w:ilvl w:val="0"/>
          <w:numId w:val="3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产后大出血休克病史；</w:t>
      </w:r>
    </w:p>
    <w:p>
      <w:pPr>
        <w:pStyle w:val="20"/>
        <w:numPr>
          <w:ilvl w:val="0"/>
          <w:numId w:val="3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严重腺垂体功能破坏，破坏程度</w:t>
      </w:r>
      <w:r>
        <w:rPr>
          <w:rFonts w:asciiTheme="minorEastAsia" w:hAnsiTheme="minorEastAsia" w:eastAsiaTheme="minorEastAsia" w:cstheme="minorEastAsia"/>
          <w:szCs w:val="21"/>
        </w:rPr>
        <w:t>&gt;95%；</w:t>
      </w:r>
    </w:p>
    <w:p>
      <w:pPr>
        <w:pStyle w:val="20"/>
        <w:numPr>
          <w:ilvl w:val="0"/>
          <w:numId w:val="3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影像学检查显示脑垂体严重萎缩或消失；</w:t>
      </w:r>
    </w:p>
    <w:p>
      <w:pPr>
        <w:pStyle w:val="20"/>
        <w:numPr>
          <w:ilvl w:val="0"/>
          <w:numId w:val="3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实验室检查显示：</w:t>
      </w:r>
    </w:p>
    <w:p>
      <w:pPr>
        <w:pStyle w:val="21"/>
        <w:numPr>
          <w:ilvl w:val="0"/>
          <w:numId w:val="38"/>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垂体前叶激素全面低下；</w:t>
      </w:r>
    </w:p>
    <w:p>
      <w:pPr>
        <w:pStyle w:val="21"/>
        <w:numPr>
          <w:ilvl w:val="0"/>
          <w:numId w:val="38"/>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性激素、甲状腺素、肾上腺皮质激素全面低下（包括生长激素、促甲状腺素、促肾上腺皮质激素、卵泡刺激素和黄体生成素）；</w:t>
      </w:r>
    </w:p>
    <w:p>
      <w:pPr>
        <w:pStyle w:val="20"/>
        <w:numPr>
          <w:ilvl w:val="0"/>
          <w:numId w:val="3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需要终身激素替代治疗以维持身体功能，持续服用各种替代激素超过一年。</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垂体功能部分低下及其他原因所致垂体功能低下不在保障范围之内。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自主生活能力完全丧失，无法独立完成六项基本日常生活活动中的三项或三项以上。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神经白塞病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白塞病是一种慢性全身性血管炎症性疾病，主要表现为复发性口腔溃疡、生殖器溃疡、眼炎及皮肤损害，可累及大血管、神经系统、消化道、肺、肾等等。累及神经系统损害的白塞病称为神经白塞病。神经白塞病必须明确诊断，并且已经造成永久不可逆的神经系统功能损害。永久不可逆的神经系统损害指被保险人持续</w:t>
      </w:r>
      <w:r>
        <w:rPr>
          <w:rFonts w:asciiTheme="minorEastAsia" w:hAnsiTheme="minorEastAsia" w:eastAsiaTheme="minorEastAsia" w:cstheme="minorEastAsia"/>
          <w:szCs w:val="21"/>
        </w:rPr>
        <w:t>180天无法独立完成下列基本日常生活活动之一：</w:t>
      </w:r>
    </w:p>
    <w:p>
      <w:pPr>
        <w:pStyle w:val="20"/>
        <w:numPr>
          <w:ilvl w:val="0"/>
          <w:numId w:val="39"/>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移动：自己从一个房间到另一个房间；</w:t>
      </w:r>
    </w:p>
    <w:p>
      <w:pPr>
        <w:pStyle w:val="20"/>
        <w:numPr>
          <w:ilvl w:val="0"/>
          <w:numId w:val="39"/>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进食：自己从已准备好的碗或碟中取食物放入口中。</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严重幼年型类风湿关节炎</w:t>
      </w:r>
    </w:p>
    <w:p>
      <w:pPr>
        <w:pStyle w:val="20"/>
        <w:autoSpaceDE w:val="0"/>
        <w:autoSpaceDN w:val="0"/>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幼年型类风湿关节炎是一种儿童期发病的慢性关节炎，其特点为在高热和系统性病征出现数月后发生关节炎。</w:t>
      </w:r>
    </w:p>
    <w:p>
      <w:pPr>
        <w:pStyle w:val="20"/>
        <w:autoSpaceDE w:val="0"/>
        <w:autoSpaceDN w:val="0"/>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本保单仅对实际接受了膝关节或髋关节置换手术治疗的严重的幼年型类风湿关节炎予以理赔。</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重症急性出血坏死性胰腺炎开腹手术</w:t>
      </w:r>
    </w:p>
    <w:p>
      <w:pPr>
        <w:pStyle w:val="20"/>
        <w:autoSpaceDE w:val="0"/>
        <w:autoSpaceDN w:val="0"/>
        <w:adjustRightInd w:val="0"/>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指被保险人被确诊为重症急性出血坏死性胰腺炎，并实际接受了外科剖腹直视手术治疗，进行坏死组织清除、坏死病灶切除或胰腺切除。</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腹腔镜手术治疗不在保障范围内。</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因酗酒或饮酒过量所致的急性坏死性胰腺炎不在保障范围内。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溶血性链球菌感染引起的坏疽</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由于急性溶血性链球菌感染导致广泛的皮肤、皮下组织和深层组织的坏死。必须满足以下所有条件：</w:t>
      </w:r>
    </w:p>
    <w:p>
      <w:pPr>
        <w:pStyle w:val="20"/>
        <w:numPr>
          <w:ilvl w:val="0"/>
          <w:numId w:val="4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细菌培养证实致病菌为溶血性链球菌；</w:t>
      </w:r>
    </w:p>
    <w:p>
      <w:pPr>
        <w:pStyle w:val="20"/>
        <w:numPr>
          <w:ilvl w:val="0"/>
          <w:numId w:val="4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受感染肢体被截肢（自腕关节或踝关节近端）。</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因疾病或外伤导致智力缺陷（</w:t>
      </w:r>
      <w:r>
        <w:rPr>
          <w:rFonts w:asciiTheme="minorEastAsia" w:hAnsiTheme="minorEastAsia" w:eastAsiaTheme="minorEastAsia" w:cstheme="minorEastAsia"/>
          <w:b/>
          <w:bCs/>
          <w:szCs w:val="21"/>
        </w:rPr>
        <w:t>6周岁始理赔）</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因严重头部创伤或疾病造成被保险人智力低常（智力低于常态）或智力残疾。根据智商（</w:t>
      </w:r>
      <w:r>
        <w:rPr>
          <w:rFonts w:asciiTheme="minorEastAsia" w:hAnsiTheme="minorEastAsia" w:eastAsiaTheme="minorEastAsia" w:cstheme="minorEastAsia"/>
          <w:szCs w:val="21"/>
        </w:rPr>
        <w:t>IQ）智力低常分为轻度（IQ50-70）；中度（IQ35-50）；重度（IQ20-35）和极重度（IQ&lt;20）。</w:t>
      </w:r>
      <w:r>
        <w:rPr>
          <w:rFonts w:hint="eastAsia" w:asciiTheme="minorEastAsia" w:hAnsiTheme="minorEastAsia" w:eastAsiaTheme="minorEastAsia" w:cstheme="minorEastAsia"/>
          <w:b/>
          <w:szCs w:val="21"/>
        </w:rPr>
        <w:t>智商</w:t>
      </w:r>
      <w:r>
        <w:rPr>
          <w:rFonts w:asciiTheme="minorEastAsia" w:hAnsiTheme="minorEastAsia" w:eastAsiaTheme="minorEastAsia" w:cstheme="minorEastAsia"/>
          <w:b/>
          <w:szCs w:val="21"/>
        </w:rPr>
        <w:t>70-85为智力临界低常，不在</w:t>
      </w:r>
      <w:r>
        <w:rPr>
          <w:rFonts w:hint="eastAsia" w:asciiTheme="minorEastAsia" w:hAnsiTheme="minorEastAsia" w:eastAsiaTheme="minorEastAsia" w:cstheme="minorEastAsia"/>
          <w:b/>
          <w:szCs w:val="21"/>
        </w:rPr>
        <w:t>本保障范围内。</w:t>
      </w:r>
      <w:r>
        <w:rPr>
          <w:rFonts w:hint="eastAsia" w:asciiTheme="minorEastAsia" w:hAnsiTheme="minorEastAsia" w:eastAsiaTheme="minorEastAsia" w:cstheme="minorEastAsia"/>
          <w:szCs w:val="21"/>
        </w:rPr>
        <w:t>智商的检测必须由保险人认可的专职心理测验工作者进行，心理测验工作者必须持有由心理测量专业委员会资格认定书。根据被保险人年龄采用对应的智力量表如韦克斯勒智力量表（儿童智力量表或成人智力量表）。</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理赔时必须满足下列全部条件：</w:t>
      </w:r>
    </w:p>
    <w:p>
      <w:pPr>
        <w:pStyle w:val="20"/>
        <w:numPr>
          <w:ilvl w:val="0"/>
          <w:numId w:val="41"/>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被保险人大于或等于</w:t>
      </w:r>
      <w:r>
        <w:rPr>
          <w:rFonts w:asciiTheme="minorEastAsia" w:hAnsiTheme="minorEastAsia" w:eastAsiaTheme="minorEastAsia" w:cstheme="minorEastAsia"/>
          <w:szCs w:val="21"/>
        </w:rPr>
        <w:t>6周岁；</w:t>
      </w:r>
    </w:p>
    <w:p>
      <w:pPr>
        <w:pStyle w:val="20"/>
        <w:numPr>
          <w:ilvl w:val="0"/>
          <w:numId w:val="41"/>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儿科主任医师确诊被保险人由于严重头部创伤或疾病造成智力低下；</w:t>
      </w:r>
    </w:p>
    <w:p>
      <w:pPr>
        <w:pStyle w:val="20"/>
        <w:numPr>
          <w:ilvl w:val="0"/>
          <w:numId w:val="41"/>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专职合格心理检测工作者适时做的心理检测证实被保险人智力低常（轻度、中度、重度或极重度）；</w:t>
      </w:r>
    </w:p>
    <w:p>
      <w:pPr>
        <w:pStyle w:val="20"/>
        <w:numPr>
          <w:ilvl w:val="0"/>
          <w:numId w:val="41"/>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被保险人的智力低常自确认日起持续</w:t>
      </w:r>
      <w:r>
        <w:rPr>
          <w:rFonts w:asciiTheme="minorEastAsia" w:hAnsiTheme="minorEastAsia" w:eastAsiaTheme="minorEastAsia" w:cstheme="minorEastAsia"/>
          <w:szCs w:val="21"/>
        </w:rPr>
        <w:t>180天以上。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严重肠道疾病并发症</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严重肠道疾病或外伤导致小肠损害并发症，必须满足以下所有条件：</w:t>
      </w:r>
    </w:p>
    <w:p>
      <w:pPr>
        <w:pStyle w:val="20"/>
        <w:numPr>
          <w:ilvl w:val="0"/>
          <w:numId w:val="4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至少切除了三分之二小肠；</w:t>
      </w:r>
    </w:p>
    <w:p>
      <w:pPr>
        <w:pStyle w:val="20"/>
        <w:numPr>
          <w:ilvl w:val="0"/>
          <w:numId w:val="4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完全肠外营养支持</w:t>
      </w:r>
      <w:r>
        <w:rPr>
          <w:rFonts w:asciiTheme="minorEastAsia" w:hAnsiTheme="minorEastAsia" w:eastAsiaTheme="minorEastAsia" w:cstheme="minorEastAsia"/>
          <w:szCs w:val="21"/>
        </w:rPr>
        <w:t>3个月以上。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严重瑞氏综合征</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瑞氏综合征是线粒体功能障碍性疾病。导致脂肪代谢障碍，引起短链脂肪酸、血氨升高，造成脑水肿。主要临床表现为急性发热、反复呕吐、惊厥及意识障碍等等。肝脏活检是确诊的重要手段。瑞氏综合征需由三级医院的儿科专科医生确诊，并符合下列所有条件：</w:t>
      </w:r>
    </w:p>
    <w:p>
      <w:pPr>
        <w:pStyle w:val="20"/>
        <w:numPr>
          <w:ilvl w:val="0"/>
          <w:numId w:val="4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有脑水肿和颅内压升高的脑脊液检查和影像学检查证据；</w:t>
      </w:r>
    </w:p>
    <w:p>
      <w:pPr>
        <w:pStyle w:val="20"/>
        <w:numPr>
          <w:ilvl w:val="0"/>
          <w:numId w:val="4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血氨超过正常值的</w:t>
      </w:r>
      <w:r>
        <w:rPr>
          <w:rFonts w:asciiTheme="minorEastAsia" w:hAnsiTheme="minorEastAsia" w:eastAsiaTheme="minorEastAsia" w:cstheme="minorEastAsia"/>
          <w:szCs w:val="21"/>
        </w:rPr>
        <w:t>3倍；</w:t>
      </w:r>
    </w:p>
    <w:p>
      <w:pPr>
        <w:pStyle w:val="20"/>
        <w:numPr>
          <w:ilvl w:val="0"/>
          <w:numId w:val="4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临床出现昏迷，病程至少达到疾病分期第</w:t>
      </w:r>
      <w:r>
        <w:rPr>
          <w:rFonts w:asciiTheme="minorEastAsia" w:hAnsiTheme="minorEastAsia" w:eastAsiaTheme="minorEastAsia" w:cstheme="minorEastAsia"/>
          <w:szCs w:val="21"/>
        </w:rPr>
        <w:t>3期。</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急性肺损伤（</w:t>
      </w:r>
      <w:r>
        <w:rPr>
          <w:rFonts w:asciiTheme="minorEastAsia" w:hAnsiTheme="minorEastAsia" w:eastAsiaTheme="minorEastAsia" w:cstheme="minorEastAsia"/>
          <w:b/>
          <w:bCs/>
          <w:szCs w:val="21"/>
        </w:rPr>
        <w:t>ALI）或急性呼吸窘迫综合征（ARDS）</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一种表现为无心脏衰竭的肺水肿，为创伤、脓毒血症等临床多种疾病的并发症，造成多器官衰竭，死亡率高。</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急性肺损伤或急性呼吸窘迫综合征必须由呼吸系统专科医师诊断，并有所有以下临床证据支持。</w:t>
      </w:r>
    </w:p>
    <w:p>
      <w:pPr>
        <w:pStyle w:val="20"/>
        <w:numPr>
          <w:ilvl w:val="0"/>
          <w:numId w:val="4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急性发作（原发疾病起病后</w:t>
      </w:r>
      <w:r>
        <w:rPr>
          <w:rFonts w:asciiTheme="minorEastAsia" w:hAnsiTheme="minorEastAsia" w:eastAsiaTheme="minorEastAsia" w:cstheme="minorEastAsia"/>
          <w:szCs w:val="21"/>
        </w:rPr>
        <w:t>6至72小时）；</w:t>
      </w:r>
    </w:p>
    <w:p>
      <w:pPr>
        <w:pStyle w:val="20"/>
        <w:numPr>
          <w:ilvl w:val="0"/>
          <w:numId w:val="4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（急性发作的临床症状体征，包括呼吸急促、呼吸困难、心动过速、大汗、面色苍白及辅助呼吸肌活动加强（点头呼吸、提肩呼吸）；</w:t>
      </w:r>
    </w:p>
    <w:p>
      <w:pPr>
        <w:pStyle w:val="20"/>
        <w:numPr>
          <w:ilvl w:val="0"/>
          <w:numId w:val="4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双肺浸润影；</w:t>
      </w:r>
    </w:p>
    <w:p>
      <w:pPr>
        <w:pStyle w:val="20"/>
        <w:numPr>
          <w:ilvl w:val="0"/>
          <w:numId w:val="4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asciiTheme="minorEastAsia" w:hAnsiTheme="minorEastAsia" w:eastAsiaTheme="minorEastAsia" w:cstheme="minorEastAsia"/>
          <w:szCs w:val="21"/>
        </w:rPr>
        <w:t>PaO</w:t>
      </w:r>
      <w:r>
        <w:rPr>
          <w:rFonts w:asciiTheme="minorEastAsia" w:hAnsiTheme="minorEastAsia" w:eastAsiaTheme="minorEastAsia" w:cstheme="minorEastAsia"/>
          <w:szCs w:val="21"/>
          <w:vertAlign w:val="subscript"/>
        </w:rPr>
        <w:t>2</w:t>
      </w:r>
      <w:r>
        <w:rPr>
          <w:rFonts w:asciiTheme="minorEastAsia" w:hAnsiTheme="minorEastAsia" w:eastAsiaTheme="minorEastAsia" w:cstheme="minorEastAsia"/>
          <w:szCs w:val="21"/>
        </w:rPr>
        <w:t>/FiO</w:t>
      </w:r>
      <w:r>
        <w:rPr>
          <w:rFonts w:asciiTheme="minorEastAsia" w:hAnsiTheme="minorEastAsia" w:eastAsiaTheme="minorEastAsia" w:cstheme="minorEastAsia"/>
          <w:szCs w:val="21"/>
          <w:vertAlign w:val="subscript"/>
        </w:rPr>
        <w:t>2</w:t>
      </w:r>
      <w:r>
        <w:rPr>
          <w:rFonts w:hint="eastAsia" w:asciiTheme="minorEastAsia" w:hAnsiTheme="minorEastAsia" w:eastAsiaTheme="minorEastAsia" w:cstheme="minorEastAsia"/>
          <w:szCs w:val="21"/>
        </w:rPr>
        <w:t>（动脉血压分压</w:t>
      </w:r>
      <w:r>
        <w:rPr>
          <w:rFonts w:asciiTheme="minorEastAsia" w:hAnsiTheme="minorEastAsia" w:eastAsiaTheme="minorEastAsia" w:cstheme="minorEastAsia"/>
          <w:szCs w:val="21"/>
        </w:rPr>
        <w:t>/吸入气氧分压）低于200mmHg；</w:t>
      </w:r>
    </w:p>
    <w:p>
      <w:pPr>
        <w:pStyle w:val="20"/>
        <w:numPr>
          <w:ilvl w:val="0"/>
          <w:numId w:val="4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肺动脉嵌入压低于</w:t>
      </w:r>
      <w:r>
        <w:rPr>
          <w:rFonts w:asciiTheme="minorEastAsia" w:hAnsiTheme="minorEastAsia" w:eastAsiaTheme="minorEastAsia" w:cstheme="minorEastAsia"/>
          <w:szCs w:val="21"/>
        </w:rPr>
        <w:t>18mmHg</w:t>
      </w:r>
      <w:r>
        <w:rPr>
          <w:rFonts w:hint="eastAsia" w:asciiTheme="minorEastAsia" w:hAnsiTheme="minorEastAsia" w:eastAsiaTheme="minorEastAsia" w:cstheme="minorEastAsia"/>
          <w:szCs w:val="21"/>
        </w:rPr>
        <w:t>；</w:t>
      </w:r>
    </w:p>
    <w:p>
      <w:pPr>
        <w:pStyle w:val="20"/>
        <w:numPr>
          <w:ilvl w:val="0"/>
          <w:numId w:val="4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临床无左房高压表现。</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溶血性尿毒综合征</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一种由于感染导致的急性综合征，引起红细胞溶血，肾功能衰竭及尿毒症。溶血尿毒综合征必须由血液和肾脏专科医师诊断，并且符合所有以下条件：</w:t>
      </w:r>
    </w:p>
    <w:p>
      <w:pPr>
        <w:pStyle w:val="20"/>
        <w:numPr>
          <w:ilvl w:val="0"/>
          <w:numId w:val="4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实验室检查确认有溶血性贫血、血尿、尿毒症、血小板减少性紫癜；</w:t>
      </w:r>
    </w:p>
    <w:p>
      <w:pPr>
        <w:pStyle w:val="20"/>
        <w:numPr>
          <w:ilvl w:val="0"/>
          <w:numId w:val="4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因肾脏功能衰竭实施了肾脏透析治疗。</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任何非因感染导致的溶血性贫血，如：自身免疫性溶血性贫血、与红细胞末缺陷有关的溶血性贫血、红细胞酶病、血红蛋白病等，不在本保单保障范围内。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严重登革热</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登革热是由登革热病毒引起的急性传染病，为一种自限性疾病，通常预后良好。本保单仅对严重的登革热给予保障，被保险人的登革热必须满足下列所有条件：</w:t>
      </w:r>
    </w:p>
    <w:p>
      <w:pPr>
        <w:pStyle w:val="20"/>
        <w:numPr>
          <w:ilvl w:val="0"/>
          <w:numId w:val="4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根据《登革热诊疗指南（</w:t>
      </w:r>
      <w:r>
        <w:rPr>
          <w:rFonts w:asciiTheme="minorEastAsia" w:hAnsiTheme="minorEastAsia" w:eastAsiaTheme="minorEastAsia" w:cstheme="minorEastAsia"/>
          <w:szCs w:val="21"/>
        </w:rPr>
        <w:t>2014版）》诊断的确诊病例；</w:t>
      </w:r>
    </w:p>
    <w:p>
      <w:pPr>
        <w:pStyle w:val="20"/>
        <w:numPr>
          <w:ilvl w:val="0"/>
          <w:numId w:val="4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出现下列一种或多种严重登革热的临床表现：</w:t>
      </w:r>
    </w:p>
    <w:p>
      <w:pPr>
        <w:pStyle w:val="21"/>
        <w:numPr>
          <w:ilvl w:val="0"/>
          <w:numId w:val="47"/>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血浆渗漏致休克或胸腔积液伴呼吸困难；</w:t>
      </w:r>
    </w:p>
    <w:p>
      <w:pPr>
        <w:pStyle w:val="21"/>
        <w:numPr>
          <w:ilvl w:val="0"/>
          <w:numId w:val="47"/>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严重出血：消化道出血、阴道大出血、颅内出血、肉眼血尿或皮下血肿（</w:t>
      </w:r>
      <w:r>
        <w:rPr>
          <w:rFonts w:hint="eastAsia" w:asciiTheme="minorEastAsia" w:hAnsiTheme="minorEastAsia" w:eastAsiaTheme="minorEastAsia" w:cstheme="minorEastAsia"/>
          <w:b/>
          <w:bCs/>
          <w:szCs w:val="21"/>
        </w:rPr>
        <w:t>不包括皮下出血点</w:t>
      </w:r>
      <w:r>
        <w:rPr>
          <w:rFonts w:hint="eastAsia" w:asciiTheme="minorEastAsia" w:hAnsiTheme="minorEastAsia" w:eastAsiaTheme="minorEastAsia" w:cstheme="minorEastAsia"/>
          <w:szCs w:val="21"/>
        </w:rPr>
        <w:t>）；</w:t>
      </w:r>
    </w:p>
    <w:p>
      <w:pPr>
        <w:pStyle w:val="21"/>
        <w:numPr>
          <w:ilvl w:val="0"/>
          <w:numId w:val="47"/>
        </w:numPr>
        <w:autoSpaceDE w:val="0"/>
        <w:autoSpaceDN w:val="0"/>
        <w:adjustRightInd w:val="0"/>
        <w:snapToGrid w:val="0"/>
        <w:spacing w:after="160"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严重器官损害或衰竭：肝脏损伤</w:t>
      </w:r>
      <w:r>
        <w:rPr>
          <w:rFonts w:asciiTheme="minorEastAsia" w:hAnsiTheme="minorEastAsia" w:eastAsiaTheme="minorEastAsia" w:cstheme="minorEastAsia"/>
          <w:szCs w:val="21"/>
        </w:rPr>
        <w:t>(ALT或AST&gt;1000IU/L)、ARDS（急性呼吸窘迫综合征、急性心功能衰竭、急性肾功能衰竭、脑病。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危重手足口病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手足口病是由肠道病毒引起的急性传染病，主要症状表现为手、足、口腔等部位的斑丘疹、疱疹。</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危重手足口病必须满足下列所有条件：</w:t>
      </w:r>
    </w:p>
    <w:p>
      <w:pPr>
        <w:pStyle w:val="20"/>
        <w:numPr>
          <w:ilvl w:val="0"/>
          <w:numId w:val="48"/>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病原学检查确诊为手足口病；</w:t>
      </w:r>
    </w:p>
    <w:p>
      <w:pPr>
        <w:pStyle w:val="20"/>
        <w:numPr>
          <w:ilvl w:val="0"/>
          <w:numId w:val="48"/>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伴有所列危重并发症之一：脑膜炎、脑炎、脑脊髓炎、肺水肿或心脏衰竭；</w:t>
      </w:r>
    </w:p>
    <w:p>
      <w:pPr>
        <w:pStyle w:val="20"/>
        <w:numPr>
          <w:ilvl w:val="0"/>
          <w:numId w:val="48"/>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接受了</w:t>
      </w:r>
      <w:r>
        <w:rPr>
          <w:rFonts w:asciiTheme="minorEastAsia" w:hAnsiTheme="minorEastAsia" w:eastAsiaTheme="minorEastAsia" w:cstheme="minorEastAsia"/>
          <w:szCs w:val="21"/>
        </w:rPr>
        <w:t>2周以上的住院治疗。</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意外导致的重度面部烧伤</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指面部Ⅲ度烧伤且烧伤面积达到面部表面积的</w:t>
      </w:r>
      <w:r>
        <w:rPr>
          <w:rFonts w:asciiTheme="minorEastAsia" w:hAnsiTheme="minorEastAsia" w:eastAsiaTheme="minorEastAsia" w:cstheme="minorEastAsia"/>
          <w:szCs w:val="21"/>
        </w:rPr>
        <w:t>2/3或全身体表面积的2％。</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体表面积根据《中国新九分法》计算，面部总面积为全身体表面积的</w:t>
      </w:r>
      <w:r>
        <w:rPr>
          <w:rFonts w:asciiTheme="minorEastAsia" w:hAnsiTheme="minorEastAsia" w:eastAsiaTheme="minorEastAsia" w:cstheme="minorEastAsia"/>
          <w:szCs w:val="21"/>
        </w:rPr>
        <w:t>3%。</w:t>
      </w:r>
      <w:r>
        <w:rPr>
          <w:rFonts w:asciiTheme="minorEastAsia" w:hAnsiTheme="minorEastAsia" w:eastAsiaTheme="minorEastAsia" w:cstheme="minorEastAsia"/>
          <w:b/>
          <w:bCs/>
          <w:szCs w:val="21"/>
        </w:rPr>
        <w:t>面部面积不包括发部和颈部。</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失去一肢及一眼（</w:t>
      </w:r>
      <w:r>
        <w:rPr>
          <w:rFonts w:asciiTheme="minorEastAsia" w:hAnsiTheme="minorEastAsia" w:eastAsiaTheme="minorEastAsia" w:cstheme="minorEastAsia"/>
          <w:b/>
          <w:bCs/>
          <w:szCs w:val="21"/>
        </w:rPr>
        <w:t>3周岁始理赔）</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被保险人因同一次意外伤害事件导致一肢体丧失和一眼视力丧失。必须满足下列所有条件：</w:t>
      </w:r>
    </w:p>
    <w:p>
      <w:pPr>
        <w:pStyle w:val="20"/>
        <w:numPr>
          <w:ilvl w:val="0"/>
          <w:numId w:val="49"/>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一肢体丧失指任何一肢体自腕关节或踝关节近端（靠近躯干端）以上完全性断离。</w:t>
      </w:r>
    </w:p>
    <w:p>
      <w:pPr>
        <w:pStyle w:val="20"/>
        <w:numPr>
          <w:ilvl w:val="0"/>
          <w:numId w:val="49"/>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一眼视力丧失指一只眼视力永久不可逆性丧失，患眼须满足下列至少一项条件：</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a)眼球摘除；</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b)矫正视力低于0.02（采用国际标准视力表，如果使用其它视力表应进行换算）；</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c)视野半径小于5度。</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除眼球摘除以外，被保险人申请理赔时年龄必须在</w:t>
      </w:r>
      <w:r>
        <w:rPr>
          <w:rFonts w:asciiTheme="minorEastAsia" w:hAnsiTheme="minorEastAsia" w:eastAsiaTheme="minorEastAsia" w:cstheme="minorEastAsia"/>
          <w:b/>
          <w:bCs/>
          <w:szCs w:val="21"/>
        </w:rPr>
        <w:t>3周岁以上，并且提供理赔当时的视力丧失诊断及检查证据。</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艾森门格综合征</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指一组先天性心脏病发展的后果，特点为进行性肺动脉高压所致的动脉阻塞性病变，也称为肺动脉高压性右向左分流综合征。必须满足下列全部条件：</w:t>
      </w:r>
    </w:p>
    <w:p>
      <w:pPr>
        <w:pStyle w:val="20"/>
        <w:numPr>
          <w:ilvl w:val="0"/>
          <w:numId w:val="5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缺氧、青紫、杵状指；</w:t>
      </w:r>
    </w:p>
    <w:p>
      <w:pPr>
        <w:pStyle w:val="20"/>
        <w:numPr>
          <w:ilvl w:val="0"/>
          <w:numId w:val="5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静息状态下肺动脉平均压超过</w:t>
      </w:r>
      <w:r>
        <w:rPr>
          <w:rFonts w:asciiTheme="minorEastAsia" w:hAnsiTheme="minorEastAsia" w:eastAsiaTheme="minorEastAsia" w:cstheme="minorEastAsia"/>
          <w:szCs w:val="21"/>
        </w:rPr>
        <w:t>40mmHg；</w:t>
      </w:r>
    </w:p>
    <w:p>
      <w:pPr>
        <w:pStyle w:val="20"/>
        <w:numPr>
          <w:ilvl w:val="0"/>
          <w:numId w:val="50"/>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已经造成永久不可逆性的体力活动能力受限，达到美国纽约心脏病学会心功能状态分级</w:t>
      </w:r>
      <w:r>
        <w:rPr>
          <w:rFonts w:asciiTheme="minorEastAsia" w:hAnsiTheme="minorEastAsia" w:eastAsiaTheme="minorEastAsia" w:cstheme="minorEastAsia"/>
          <w:szCs w:val="21"/>
        </w:rPr>
        <w:t>IV级。</w:t>
      </w:r>
    </w:p>
    <w:p>
      <w:pPr>
        <w:pStyle w:val="21"/>
        <w:autoSpaceDE w:val="0"/>
        <w:autoSpaceDN w:val="0"/>
        <w:adjustRightInd w:val="0"/>
        <w:snapToGrid w:val="0"/>
        <w:spacing w:after="160" w:line="360" w:lineRule="auto"/>
        <w:ind w:firstLine="422"/>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本疾病不受本保险合同第七条责任免除中关于“遗传性疾病、先天性畸形、变形或染色体异常”的限制。</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室壁瘤切除手术</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指因心肌梗死导致室壁瘤，实际实施了开胸开心室壁瘤切除手术治疗。</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丝虫感染所致严重象皮病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指因丝虫感染导致淋巴阻塞性出现严重淋巴水肿，达到国际淋巴学会淋巴肿分期第</w:t>
      </w:r>
      <w:r>
        <w:rPr>
          <w:rFonts w:asciiTheme="minorEastAsia" w:hAnsiTheme="minorEastAsia" w:eastAsiaTheme="minorEastAsia" w:cstheme="minorEastAsia"/>
          <w:szCs w:val="21"/>
        </w:rPr>
        <w:t>III期，临床表现为肢体象皮肿，患肢较</w:t>
      </w:r>
      <w:r>
        <w:rPr>
          <w:rFonts w:hint="eastAsia" w:asciiTheme="minorEastAsia" w:hAnsiTheme="minorEastAsia" w:eastAsiaTheme="minorEastAsia" w:cstheme="minorEastAsia"/>
          <w:szCs w:val="21"/>
        </w:rPr>
        <w:t>健肢增粗</w:t>
      </w:r>
      <w:r>
        <w:rPr>
          <w:rFonts w:asciiTheme="minorEastAsia" w:hAnsiTheme="minorEastAsia" w:eastAsiaTheme="minorEastAsia" w:cstheme="minorEastAsia"/>
          <w:szCs w:val="21"/>
        </w:rPr>
        <w:t>30%以上，日常生活不能自理。</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克</w:t>
      </w:r>
      <w:r>
        <w:rPr>
          <w:rFonts w:asciiTheme="minorEastAsia" w:hAnsiTheme="minorEastAsia" w:eastAsiaTheme="minorEastAsia" w:cstheme="minorEastAsia"/>
          <w:b/>
          <w:bCs/>
          <w:szCs w:val="21"/>
        </w:rPr>
        <w:t>-雅氏病（CJD）</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asciiTheme="minorEastAsia" w:hAnsiTheme="minorEastAsia" w:eastAsiaTheme="minorEastAsia" w:cstheme="minorEastAsia"/>
          <w:szCs w:val="21"/>
        </w:rPr>
        <w:t>CJD是一种传染性海绵状脑病，临床表现为快速进行性痴呆、肌阵挛和特征性脑电图变化。本病须经三级医院的专科医师根据WHO诊断标准明确诊断，并且被保险人</w:t>
      </w:r>
      <w:r>
        <w:rPr>
          <w:rFonts w:hint="eastAsia" w:asciiTheme="minorEastAsia" w:hAnsiTheme="minorEastAsia" w:eastAsiaTheme="minorEastAsia" w:cstheme="minorEastAsia"/>
          <w:szCs w:val="21"/>
        </w:rPr>
        <w:t>永久不可逆丧失自主生活能力，无法独立完成六项基本日常生活活动中的三项或三项以上。</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埃博拉病毒感染</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指埃博拉病毒感染导致的急性出血性传染病。埃博拉病毒病必须经国家认可的有合法资质的传染病专家确诊并且上报国家疾病控制中心接受了隔离和治疗，必须满足以下所有条件：</w:t>
      </w:r>
    </w:p>
    <w:p>
      <w:pPr>
        <w:pStyle w:val="20"/>
        <w:numPr>
          <w:ilvl w:val="0"/>
          <w:numId w:val="51"/>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实验室检查证据证实存在埃博拉病毒感染；</w:t>
      </w:r>
    </w:p>
    <w:p>
      <w:pPr>
        <w:pStyle w:val="20"/>
        <w:numPr>
          <w:ilvl w:val="0"/>
          <w:numId w:val="51"/>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存在持续</w:t>
      </w:r>
      <w:r>
        <w:rPr>
          <w:rFonts w:asciiTheme="minorEastAsia" w:hAnsiTheme="minorEastAsia" w:eastAsiaTheme="minorEastAsia" w:cstheme="minorEastAsia"/>
          <w:szCs w:val="21"/>
        </w:rPr>
        <w:t>30天以上广泛出血的临床表现。</w:t>
      </w:r>
    </w:p>
    <w:p>
      <w:pPr>
        <w:pStyle w:val="20"/>
        <w:autoSpaceDE w:val="0"/>
        <w:autoSpaceDN w:val="0"/>
        <w:adjustRightInd w:val="0"/>
        <w:snapToGrid w:val="0"/>
        <w:spacing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埃博拉病毒感染疑似病例，在确诊之前已经死亡的不在本保障范围内。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职业原因导致人类免疫缺陷病毒（</w:t>
      </w:r>
      <w:r>
        <w:rPr>
          <w:rFonts w:asciiTheme="minorEastAsia" w:hAnsiTheme="minorEastAsia" w:eastAsiaTheme="minorEastAsia" w:cstheme="minorEastAsia"/>
          <w:b/>
          <w:bCs/>
          <w:szCs w:val="21"/>
        </w:rPr>
        <w:t>HIV）感染</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被保险人的职业归属于下列职业列表内的职业，在其常规职业工作过程中遭遇外伤，或者职业需要处理血液或者其他体液时感染上人类免疫缺陷病毒（</w:t>
      </w:r>
      <w:r>
        <w:rPr>
          <w:rFonts w:asciiTheme="minorEastAsia" w:hAnsiTheme="minorEastAsia" w:eastAsiaTheme="minorEastAsia" w:cstheme="minorEastAsia"/>
          <w:szCs w:val="21"/>
        </w:rPr>
        <w:t>HIV）。必须满足下列全部条件：</w:t>
      </w:r>
    </w:p>
    <w:p>
      <w:pPr>
        <w:pStyle w:val="20"/>
        <w:numPr>
          <w:ilvl w:val="0"/>
          <w:numId w:val="5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感染必须发生在被保险人从事其职业工作过程中；</w:t>
      </w:r>
    </w:p>
    <w:p>
      <w:pPr>
        <w:pStyle w:val="20"/>
        <w:numPr>
          <w:ilvl w:val="0"/>
          <w:numId w:val="5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血清转化必须出现在事故发生后的</w:t>
      </w:r>
      <w:r>
        <w:rPr>
          <w:rFonts w:asciiTheme="minorEastAsia" w:hAnsiTheme="minorEastAsia" w:eastAsiaTheme="minorEastAsia" w:cstheme="minorEastAsia"/>
          <w:szCs w:val="21"/>
        </w:rPr>
        <w:t>6个月以内；</w:t>
      </w:r>
    </w:p>
    <w:p>
      <w:pPr>
        <w:pStyle w:val="20"/>
        <w:numPr>
          <w:ilvl w:val="0"/>
          <w:numId w:val="5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必须提供被保险人在所报事故发生后的</w:t>
      </w:r>
      <w:r>
        <w:rPr>
          <w:rFonts w:asciiTheme="minorEastAsia" w:hAnsiTheme="minorEastAsia" w:eastAsiaTheme="minorEastAsia" w:cstheme="minorEastAsia"/>
          <w:szCs w:val="21"/>
        </w:rPr>
        <w:t>5天以内进行的检查报告，该报告必须显示被保险人血液HIV病毒阴性和/或HIV抗体阴性；</w:t>
      </w:r>
    </w:p>
    <w:p>
      <w:pPr>
        <w:pStyle w:val="20"/>
        <w:numPr>
          <w:ilvl w:val="0"/>
          <w:numId w:val="52"/>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必须在事故发生后的</w:t>
      </w:r>
      <w:r>
        <w:rPr>
          <w:rFonts w:asciiTheme="minorEastAsia" w:hAnsiTheme="minorEastAsia" w:eastAsiaTheme="minorEastAsia" w:cstheme="minorEastAsia"/>
          <w:szCs w:val="21"/>
        </w:rPr>
        <w:t>12个月内证实被保险人体内存在HIV病毒或者HIV抗体。</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职业列表：</w:t>
      </w:r>
    </w:p>
    <w:tbl>
      <w:tblPr>
        <w:tblStyle w:val="10"/>
        <w:tblW w:w="5253" w:type="dxa"/>
        <w:jc w:val="center"/>
        <w:tblLayout w:type="fixed"/>
        <w:tblCellMar>
          <w:top w:w="0" w:type="dxa"/>
          <w:left w:w="108" w:type="dxa"/>
          <w:bottom w:w="0" w:type="dxa"/>
          <w:right w:w="108" w:type="dxa"/>
        </w:tblCellMar>
      </w:tblPr>
      <w:tblGrid>
        <w:gridCol w:w="2943"/>
        <w:gridCol w:w="2310"/>
      </w:tblGrid>
      <w:tr>
        <w:tblPrEx>
          <w:tblCellMar>
            <w:top w:w="0" w:type="dxa"/>
            <w:left w:w="108" w:type="dxa"/>
            <w:bottom w:w="0" w:type="dxa"/>
            <w:right w:w="108" w:type="dxa"/>
          </w:tblCellMar>
        </w:tblPrEx>
        <w:trPr>
          <w:trHeight w:val="90" w:hRule="atLeast"/>
          <w:jc w:val="center"/>
        </w:trPr>
        <w:tc>
          <w:tcPr>
            <w:tcW w:w="294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医生（包括牙医）</w:t>
            </w:r>
          </w:p>
        </w:tc>
        <w:tc>
          <w:tcPr>
            <w:tcW w:w="2310" w:type="dxa"/>
            <w:tcBorders>
              <w:top w:val="single" w:color="auto" w:sz="4" w:space="0"/>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护士</w:t>
            </w:r>
          </w:p>
        </w:tc>
      </w:tr>
      <w:tr>
        <w:tblPrEx>
          <w:tblCellMar>
            <w:top w:w="0" w:type="dxa"/>
            <w:left w:w="108" w:type="dxa"/>
            <w:bottom w:w="0" w:type="dxa"/>
            <w:right w:w="108" w:type="dxa"/>
          </w:tblCellMar>
        </w:tblPrEx>
        <w:trPr>
          <w:trHeight w:val="90" w:hRule="atLeast"/>
          <w:jc w:val="center"/>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医院化验室工作人员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医院护工</w:t>
            </w:r>
          </w:p>
        </w:tc>
      </w:tr>
      <w:tr>
        <w:tblPrEx>
          <w:tblCellMar>
            <w:top w:w="0" w:type="dxa"/>
            <w:left w:w="108" w:type="dxa"/>
            <w:bottom w:w="0" w:type="dxa"/>
            <w:right w:w="108" w:type="dxa"/>
          </w:tblCellMar>
        </w:tblPrEx>
        <w:trPr>
          <w:trHeight w:val="90" w:hRule="atLeast"/>
          <w:jc w:val="center"/>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救护车工作人员</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助产士</w:t>
            </w:r>
          </w:p>
        </w:tc>
      </w:tr>
      <w:tr>
        <w:tblPrEx>
          <w:tblCellMar>
            <w:top w:w="0" w:type="dxa"/>
            <w:left w:w="108" w:type="dxa"/>
            <w:bottom w:w="0" w:type="dxa"/>
            <w:right w:w="108" w:type="dxa"/>
          </w:tblCellMar>
        </w:tblPrEx>
        <w:trPr>
          <w:trHeight w:val="90" w:hRule="atLeast"/>
          <w:jc w:val="center"/>
        </w:trPr>
        <w:tc>
          <w:tcPr>
            <w:tcW w:w="2943" w:type="dxa"/>
            <w:tcBorders>
              <w:top w:val="nil"/>
              <w:left w:val="single" w:color="auto" w:sz="4" w:space="0"/>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警察（包括狱警）</w:t>
            </w:r>
          </w:p>
        </w:tc>
        <w:tc>
          <w:tcPr>
            <w:tcW w:w="2310" w:type="dxa"/>
            <w:tcBorders>
              <w:top w:val="nil"/>
              <w:left w:val="nil"/>
              <w:bottom w:val="single" w:color="auto" w:sz="4" w:space="0"/>
              <w:right w:val="single" w:color="auto" w:sz="4" w:space="0"/>
            </w:tcBorders>
            <w:vAlign w:val="center"/>
          </w:tcPr>
          <w:p>
            <w:pPr>
              <w:widowControl/>
              <w:adjustRightInd w:val="0"/>
              <w:snapToGrid w:val="0"/>
              <w:spacing w:after="0" w:line="360" w:lineRule="auto"/>
              <w:ind w:firstLine="0" w:firstLineChars="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消防人员</w:t>
            </w:r>
          </w:p>
        </w:tc>
      </w:tr>
    </w:tbl>
    <w:p>
      <w:pPr>
        <w:pStyle w:val="21"/>
        <w:autoSpaceDE w:val="0"/>
        <w:autoSpaceDN w:val="0"/>
        <w:adjustRightInd w:val="0"/>
        <w:snapToGrid w:val="0"/>
        <w:spacing w:after="160" w:line="360" w:lineRule="auto"/>
        <w:ind w:firstLineChars="199"/>
        <w:rPr>
          <w:rFonts w:asciiTheme="minorEastAsia" w:hAnsiTheme="minorEastAsia" w:eastAsiaTheme="minorEastAsia" w:cstheme="minorEastAsia"/>
          <w:b/>
          <w:bCs/>
          <w:szCs w:val="21"/>
        </w:rPr>
      </w:pP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在任何治愈艾滋病（</w:t>
      </w:r>
      <w:r>
        <w:rPr>
          <w:rFonts w:asciiTheme="minorEastAsia" w:hAnsiTheme="minorEastAsia" w:eastAsiaTheme="minorEastAsia" w:cstheme="minorEastAsia"/>
          <w:b/>
          <w:bCs/>
          <w:szCs w:val="21"/>
        </w:rPr>
        <w:t>AIDS）或阻止HIV病毒作用的疗法被发现以后，或能防止AIDS发生的医疗方法被研究出来以后，</w:t>
      </w:r>
      <w:r>
        <w:rPr>
          <w:rFonts w:hint="eastAsia" w:asciiTheme="minorEastAsia" w:hAnsiTheme="minorEastAsia" w:eastAsiaTheme="minorEastAsia" w:cstheme="minorEastAsia"/>
          <w:b/>
          <w:bCs/>
          <w:szCs w:val="21"/>
        </w:rPr>
        <w:t>本保障将不再予以赔付。</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任何因其他传播方式（包括：输血、性传播或静脉注射毒品）导致的</w:t>
      </w:r>
      <w:r>
        <w:rPr>
          <w:rFonts w:asciiTheme="minorEastAsia" w:hAnsiTheme="minorEastAsia" w:eastAsiaTheme="minorEastAsia" w:cstheme="minorEastAsia"/>
          <w:b/>
          <w:bCs/>
          <w:szCs w:val="21"/>
        </w:rPr>
        <w:t>HIV感染不在本保单保障范围内。保险</w:t>
      </w:r>
      <w:r>
        <w:rPr>
          <w:rFonts w:hint="eastAsia" w:asciiTheme="minorEastAsia" w:hAnsiTheme="minorEastAsia" w:eastAsiaTheme="minorEastAsia" w:cstheme="minorEastAsia"/>
          <w:b/>
          <w:bCs/>
          <w:szCs w:val="21"/>
        </w:rPr>
        <w:t>人</w:t>
      </w:r>
      <w:r>
        <w:rPr>
          <w:rFonts w:asciiTheme="minorEastAsia" w:hAnsiTheme="minorEastAsia" w:eastAsiaTheme="minorEastAsia" w:cstheme="minorEastAsia"/>
          <w:b/>
          <w:bCs/>
          <w:szCs w:val="21"/>
        </w:rPr>
        <w:t>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本疾病不受本保险合同第七条责任免除中关于“被保险人感染艾滋病病毒或患艾滋病”的限制。</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输血原因导致人类免疫缺陷病毒（</w:t>
      </w:r>
      <w:r>
        <w:rPr>
          <w:rFonts w:asciiTheme="minorEastAsia" w:hAnsiTheme="minorEastAsia" w:eastAsiaTheme="minorEastAsia" w:cstheme="minorEastAsia"/>
          <w:b/>
          <w:bCs/>
          <w:szCs w:val="21"/>
        </w:rPr>
        <w:t>HIV）感染</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被保险人因输血感染上人类免疫缺陷病毒（</w:t>
      </w:r>
      <w:r>
        <w:rPr>
          <w:rFonts w:asciiTheme="minorEastAsia" w:hAnsiTheme="minorEastAsia" w:eastAsiaTheme="minorEastAsia" w:cstheme="minorEastAsia"/>
          <w:szCs w:val="21"/>
        </w:rPr>
        <w:t>HIV）并且根据HIV感染分类及AIDS诊断标准被确诊为艾滋病（AIDS）期。满足下列全部条件：</w:t>
      </w:r>
    </w:p>
    <w:p>
      <w:pPr>
        <w:pStyle w:val="20"/>
        <w:numPr>
          <w:ilvl w:val="0"/>
          <w:numId w:val="5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在等待期满保障起始日之后，被保险人因输血而感染</w:t>
      </w:r>
      <w:r>
        <w:rPr>
          <w:rFonts w:asciiTheme="minorEastAsia" w:hAnsiTheme="minorEastAsia" w:eastAsiaTheme="minorEastAsia" w:cstheme="minorEastAsia"/>
          <w:szCs w:val="21"/>
        </w:rPr>
        <w:t>HIV；</w:t>
      </w:r>
    </w:p>
    <w:p>
      <w:pPr>
        <w:pStyle w:val="20"/>
        <w:numPr>
          <w:ilvl w:val="0"/>
          <w:numId w:val="5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提供输血治疗的输血中心或医院出具该项输血感染属医疗责任事故的报告，或者法院终审裁定为医疗责任；</w:t>
      </w:r>
    </w:p>
    <w:p>
      <w:pPr>
        <w:pStyle w:val="20"/>
        <w:numPr>
          <w:ilvl w:val="0"/>
          <w:numId w:val="53"/>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受感染的被保险人不是血友病患者。</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在任何治愈艾滋病（</w:t>
      </w:r>
      <w:r>
        <w:rPr>
          <w:rFonts w:asciiTheme="minorEastAsia" w:hAnsiTheme="minorEastAsia" w:eastAsiaTheme="minorEastAsia" w:cstheme="minorEastAsia"/>
          <w:b/>
          <w:bCs/>
          <w:szCs w:val="21"/>
        </w:rPr>
        <w:t>AIDS）或阻止HIV病毒作用的疗法被发现以后，或能防止AIDS发生的医疗方法被研究出来以后，</w:t>
      </w:r>
      <w:r>
        <w:rPr>
          <w:rFonts w:hint="eastAsia" w:asciiTheme="minorEastAsia" w:hAnsiTheme="minorEastAsia" w:eastAsiaTheme="minorEastAsia" w:cstheme="minorEastAsia"/>
          <w:b/>
          <w:bCs/>
          <w:szCs w:val="21"/>
        </w:rPr>
        <w:t>本保障将不再予以赔付。</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任何因其他传播方式（包括：性传播或静脉注射毒品）导致的</w:t>
      </w:r>
      <w:r>
        <w:rPr>
          <w:rFonts w:asciiTheme="minorEastAsia" w:hAnsiTheme="minorEastAsia" w:eastAsiaTheme="minorEastAsia" w:cstheme="minorEastAsia"/>
          <w:b/>
          <w:bCs/>
          <w:szCs w:val="21"/>
        </w:rPr>
        <w:t>HIV感染不在本保单保障范围内。保险</w:t>
      </w:r>
      <w:r>
        <w:rPr>
          <w:rFonts w:hint="eastAsia" w:asciiTheme="minorEastAsia" w:hAnsiTheme="minorEastAsia" w:eastAsiaTheme="minorEastAsia" w:cstheme="minorEastAsia"/>
          <w:b/>
          <w:bCs/>
          <w:szCs w:val="21"/>
        </w:rPr>
        <w:t>人</w:t>
      </w:r>
      <w:r>
        <w:rPr>
          <w:rFonts w:asciiTheme="minorEastAsia" w:hAnsiTheme="minorEastAsia" w:eastAsiaTheme="minorEastAsia" w:cstheme="minorEastAsia"/>
          <w:b/>
          <w:bCs/>
          <w:szCs w:val="21"/>
        </w:rPr>
        <w:t>必须拥有获得使用被保险人的所有血液样本的权利和能够对这些样本进行独立检验的权利。</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本疾病不受本保险合同第七条责任免除中关于“被保险人感染艾滋病病毒或患艾滋病”的限制。</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器官移植原因导致</w:t>
      </w:r>
      <w:r>
        <w:rPr>
          <w:rFonts w:asciiTheme="minorEastAsia" w:hAnsiTheme="minorEastAsia" w:eastAsiaTheme="minorEastAsia" w:cstheme="minorEastAsia"/>
          <w:b/>
          <w:bCs/>
          <w:szCs w:val="21"/>
        </w:rPr>
        <w:t>HIV感染</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被保险人因接受器官移植感染上人类免疫缺陷病毒（</w:t>
      </w:r>
      <w:r>
        <w:rPr>
          <w:rFonts w:asciiTheme="minorEastAsia" w:hAnsiTheme="minorEastAsia" w:eastAsiaTheme="minorEastAsia" w:cstheme="minorEastAsia"/>
          <w:szCs w:val="21"/>
        </w:rPr>
        <w:t>HIV）并且满足下列全部条件：</w:t>
      </w:r>
    </w:p>
    <w:p>
      <w:pPr>
        <w:pStyle w:val="20"/>
        <w:numPr>
          <w:ilvl w:val="0"/>
          <w:numId w:val="5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在等待期满保障起始日之后，被保险人接受器官移植，并因此感染</w:t>
      </w:r>
      <w:r>
        <w:rPr>
          <w:rFonts w:asciiTheme="minorEastAsia" w:hAnsiTheme="minorEastAsia" w:eastAsiaTheme="minorEastAsia" w:cstheme="minorEastAsia"/>
          <w:szCs w:val="21"/>
        </w:rPr>
        <w:t>HIV；</w:t>
      </w:r>
    </w:p>
    <w:p>
      <w:pPr>
        <w:pStyle w:val="20"/>
        <w:numPr>
          <w:ilvl w:val="0"/>
          <w:numId w:val="5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实施器官移植的医院为三级医院；</w:t>
      </w:r>
    </w:p>
    <w:p>
      <w:pPr>
        <w:pStyle w:val="20"/>
        <w:numPr>
          <w:ilvl w:val="0"/>
          <w:numId w:val="54"/>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实施移植医院出具具有法律效力的证明确认移植器官来自</w:t>
      </w:r>
      <w:r>
        <w:rPr>
          <w:rFonts w:asciiTheme="minorEastAsia" w:hAnsiTheme="minorEastAsia" w:eastAsiaTheme="minorEastAsia" w:cstheme="minorEastAsia"/>
          <w:szCs w:val="21"/>
        </w:rPr>
        <w:t>HIV感染者；</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在任何治愈艾滋病（</w:t>
      </w:r>
      <w:r>
        <w:rPr>
          <w:rFonts w:asciiTheme="minorEastAsia" w:hAnsiTheme="minorEastAsia" w:eastAsiaTheme="minorEastAsia" w:cstheme="minorEastAsia"/>
          <w:b/>
          <w:bCs/>
          <w:szCs w:val="21"/>
        </w:rPr>
        <w:t>AIDS）或阻止HIV病毒作用的疗法被发现以后，或能防止AIDS发生的医疗方法被研究出来以后，</w:t>
      </w:r>
      <w:r>
        <w:rPr>
          <w:rFonts w:hint="eastAsia" w:asciiTheme="minorEastAsia" w:hAnsiTheme="minorEastAsia" w:eastAsiaTheme="minorEastAsia" w:cstheme="minorEastAsia"/>
          <w:b/>
          <w:bCs/>
          <w:szCs w:val="21"/>
        </w:rPr>
        <w:t>本保障将不再予以赔付。</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本疾病不受本保险合同第七条责任免除中关于“被保险人感染艾滋病病毒或患艾滋病”的限制。</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胰腺移植术</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胰腺移植术指因胰腺功能衰竭，已经实际接受了胰腺的同种（人类）异体器官移植手术。</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胰岛、组织、细胞移植不在保障范围内。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角膜移植</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指因角膜病变或意外伤害导致视力丧失或视力严重损害，被保险人实际接受了同种（人类）异体角膜移植手术以恢复视力。</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角膜移植手术包括全层角膜移植术、板层角膜移植术和角膜内皮移植术。</w:t>
      </w:r>
    </w:p>
    <w:p>
      <w:pPr>
        <w:pStyle w:val="21"/>
        <w:autoSpaceDE w:val="0"/>
        <w:autoSpaceDN w:val="0"/>
        <w:adjustRightInd w:val="0"/>
        <w:snapToGrid w:val="0"/>
        <w:spacing w:after="160" w:line="360" w:lineRule="auto"/>
        <w:ind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单纯角膜细胞移植，自体角膜缘细胞移植，非同种来源角膜或人工角膜的移植不在保障范围内。</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嗜铬细胞瘤</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指发生在肾上腺或肾上腺外嗜铬组织的以分泌过多的儿茶酚胺为表现的神经内分泌肿瘤。嗜铬细胞瘤必须由内分泌专科医生诊断，并且满足以下所有条件：</w:t>
      </w:r>
    </w:p>
    <w:p>
      <w:pPr>
        <w:pStyle w:val="20"/>
        <w:numPr>
          <w:ilvl w:val="0"/>
          <w:numId w:val="5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临床有高血压症候群表现；</w:t>
      </w:r>
    </w:p>
    <w:p>
      <w:pPr>
        <w:pStyle w:val="20"/>
        <w:numPr>
          <w:ilvl w:val="0"/>
          <w:numId w:val="55"/>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已经实施了嗜铬细胞瘤切除手术。</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严重结核性脑膜炎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由结核</w:t>
      </w:r>
      <w:r>
        <w:rPr>
          <w:rFonts w:hint="eastAsia" w:asciiTheme="minorEastAsia" w:hAnsiTheme="minorEastAsia" w:eastAsiaTheme="minorEastAsia"/>
          <w:sz w:val="24"/>
          <w:szCs w:val="24"/>
        </w:rPr>
        <w:t>肌肉</w:t>
      </w:r>
      <w:r>
        <w:rPr>
          <w:rFonts w:hint="eastAsia" w:asciiTheme="minorEastAsia" w:hAnsiTheme="minorEastAsia" w:eastAsiaTheme="minorEastAsia" w:cstheme="minorEastAsia"/>
          <w:szCs w:val="21"/>
        </w:rPr>
        <w:t>引起的脑膜和脊膜的非化脓性炎症性疾病。需满足以下全部条件：</w:t>
      </w:r>
    </w:p>
    <w:p>
      <w:pPr>
        <w:pStyle w:val="20"/>
        <w:numPr>
          <w:ilvl w:val="0"/>
          <w:numId w:val="5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出现颅内压明显增高，表现头痛、呕吐和视乳头水肿；</w:t>
      </w:r>
    </w:p>
    <w:p>
      <w:pPr>
        <w:pStyle w:val="20"/>
        <w:numPr>
          <w:ilvl w:val="0"/>
          <w:numId w:val="5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出现部分性、全身性癫痫发作或癫痫持续状态；</w:t>
      </w:r>
    </w:p>
    <w:p>
      <w:pPr>
        <w:pStyle w:val="20"/>
        <w:numPr>
          <w:ilvl w:val="0"/>
          <w:numId w:val="5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昏睡或意识模糊；</w:t>
      </w:r>
    </w:p>
    <w:p>
      <w:pPr>
        <w:pStyle w:val="20"/>
        <w:numPr>
          <w:ilvl w:val="0"/>
          <w:numId w:val="56"/>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视力减退、复视和面神经麻痹。</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严重巨细胞动脉炎</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巨细胞动脉炎又称颅动脉炎、颞动脉炎、肉芽肿性动脉炎，须经保险人认可医院的专科医师明确诊断，并造成永久不可逆性的单个肢体功能障碍或单眼失明。单眼失明指单眼视力永久不可逆性丧失，患眼须满足下列至少一项条件：</w:t>
      </w:r>
    </w:p>
    <w:p>
      <w:pPr>
        <w:pStyle w:val="20"/>
        <w:numPr>
          <w:ilvl w:val="0"/>
          <w:numId w:val="5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眼球缺失或者摘除；</w:t>
      </w:r>
    </w:p>
    <w:p>
      <w:pPr>
        <w:pStyle w:val="20"/>
        <w:numPr>
          <w:ilvl w:val="0"/>
          <w:numId w:val="5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矫正视力低于</w:t>
      </w:r>
      <w:r>
        <w:rPr>
          <w:rFonts w:asciiTheme="minorEastAsia" w:hAnsiTheme="minorEastAsia" w:eastAsiaTheme="minorEastAsia" w:cstheme="minorEastAsia"/>
          <w:szCs w:val="21"/>
        </w:rPr>
        <w:t>0.02（采用国际标准视力表，如果使用其它视力表应进行换算）；</w:t>
      </w:r>
    </w:p>
    <w:p>
      <w:pPr>
        <w:pStyle w:val="20"/>
        <w:numPr>
          <w:ilvl w:val="0"/>
          <w:numId w:val="57"/>
        </w:numPr>
        <w:autoSpaceDE w:val="0"/>
        <w:autoSpaceDN w:val="0"/>
        <w:adjustRightInd w:val="0"/>
        <w:snapToGrid w:val="0"/>
        <w:spacing w:line="360" w:lineRule="auto"/>
        <w:ind w:left="0" w:firstLine="42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视野半径小于</w:t>
      </w:r>
      <w:r>
        <w:rPr>
          <w:rFonts w:asciiTheme="minorEastAsia" w:hAnsiTheme="minorEastAsia" w:eastAsiaTheme="minorEastAsia" w:cstheme="minorEastAsia"/>
          <w:szCs w:val="21"/>
        </w:rPr>
        <w:t>5度。</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狂犬病</w:t>
      </w:r>
    </w:p>
    <w:p>
      <w:pPr>
        <w:pStyle w:val="21"/>
        <w:autoSpaceDE w:val="0"/>
        <w:autoSpaceDN w:val="0"/>
        <w:adjustRightInd w:val="0"/>
        <w:snapToGrid w:val="0"/>
        <w:spacing w:after="160"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指狂犬病毒所致的急性传染病，人多因被病兽咬伤而感染。临床表现为特有的恐水、怕风、咽肌痉挛、进行性瘫痪等。须经专科医生明确诊断。</w:t>
      </w:r>
    </w:p>
    <w:p>
      <w:pPr>
        <w:pStyle w:val="20"/>
        <w:numPr>
          <w:ilvl w:val="0"/>
          <w:numId w:val="1"/>
        </w:numPr>
        <w:autoSpaceDE w:val="0"/>
        <w:autoSpaceDN w:val="0"/>
        <w:adjustRightInd w:val="0"/>
        <w:snapToGrid w:val="0"/>
        <w:spacing w:line="360" w:lineRule="auto"/>
        <w:ind w:left="0" w:firstLine="422"/>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皮质基底节变性</w:t>
      </w:r>
    </w:p>
    <w:p>
      <w:pPr>
        <w:pStyle w:val="20"/>
        <w:autoSpaceDE w:val="0"/>
        <w:autoSpaceDN w:val="0"/>
        <w:adjustRightInd w:val="0"/>
        <w:snapToGrid w:val="0"/>
        <w:spacing w:line="360" w:lineRule="auto"/>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指一种慢性进展性神经变性疾病，以不对称发作的无动性强直综合征、失用、肌张力障碍及姿势异常为其临床特征。须经临床医生明确诊断，被保险人自主生活能力完全丧失，无法独立完成六项基本日常生活活动中的三项或三项以上，日常生活必须持续受到他人监护。</w:t>
      </w:r>
    </w:p>
    <w:p>
      <w:pPr>
        <w:pStyle w:val="20"/>
        <w:numPr>
          <w:ilvl w:val="0"/>
          <w:numId w:val="1"/>
        </w:numPr>
        <w:autoSpaceDE w:val="0"/>
        <w:autoSpaceDN w:val="0"/>
        <w:adjustRightInd w:val="0"/>
        <w:snapToGrid w:val="0"/>
        <w:spacing w:line="360" w:lineRule="auto"/>
        <w:ind w:hanging="278" w:firstLineChars="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肌营养不良症</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肌营养不良症是一组遗传性肌肉变性性病变，临床特征为与神经系统无关的肌肉无力和肌肉萎缩。须满足自主生活能力完全丧失，无法独立完成六项基本日常生活活动中的三项或三项以上。</w:t>
      </w:r>
    </w:p>
    <w:p>
      <w:pPr>
        <w:pStyle w:val="16"/>
        <w:spacing w:line="360" w:lineRule="auto"/>
        <w:ind w:left="283" w:leftChars="135" w:firstLine="211"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（九十九）脑型疟疾</w:t>
      </w:r>
    </w:p>
    <w:p>
      <w:pPr>
        <w:pStyle w:val="16"/>
        <w:spacing w:line="360" w:lineRule="auto"/>
        <w:ind w:left="0" w:leftChars="0" w:firstLine="487" w:firstLineChars="232"/>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恶性疟原虫严重感染导致的脑病或脑型疟疾，以昏迷为主要特征。脑型疟疾的诊断须由专科医生确认，且外周血涂片存在恶性疟原虫。</w:t>
      </w:r>
    </w:p>
    <w:p>
      <w:pPr>
        <w:pStyle w:val="16"/>
        <w:spacing w:line="360" w:lineRule="auto"/>
        <w:ind w:left="283" w:leftChars="135" w:firstLine="211" w:firstLineChars="1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其他明确病因导致的脑病不在保障范围内。</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（一〇〇）败血症导致的多器官功能障碍综合征</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由败血症导致的多器官功能障碍综合征（</w:t>
      </w:r>
      <w:r>
        <w:rPr>
          <w:rFonts w:asciiTheme="minorEastAsia" w:hAnsiTheme="minorEastAsia" w:eastAsiaTheme="minorEastAsia" w:cstheme="minorEastAsia"/>
          <w:szCs w:val="21"/>
        </w:rPr>
        <w:t>MODS），一个或多个器官系统生理功能障碍，因该疾病住院至少96小时，并至少满足以下一条标准：</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1.呼吸衰竭，需要进行气管插管机械通气；</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2.凝血血小板计数&lt;50x10³/微升；</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3.肝功能不全，胆红素&gt;6mg/dl或&gt;102μmol/L；</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4.需要用强心剂；</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5.昏迷，格拉斯哥昏迷评分（GCS）≤9；</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6.肾功能衰竭，血清肌</w:t>
      </w:r>
      <w:r>
        <w:rPr>
          <w:rFonts w:hint="eastAsia" w:asciiTheme="minorEastAsia" w:hAnsiTheme="minorEastAsia" w:eastAsiaTheme="minorEastAsia" w:cstheme="minorEastAsia"/>
          <w:szCs w:val="21"/>
        </w:rPr>
        <w:t>酐</w:t>
      </w:r>
      <w:r>
        <w:rPr>
          <w:rFonts w:asciiTheme="minorEastAsia" w:hAnsiTheme="minorEastAsia" w:eastAsiaTheme="minorEastAsia" w:cstheme="minorEastAsia"/>
          <w:szCs w:val="21"/>
        </w:rPr>
        <w:t>&gt;300μmol/L或&gt;3.5mg/dl或尿量&lt;500ml/d；</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7.败血症有血液和影像学检查证实。</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败血症引起的</w:t>
      </w:r>
      <w:r>
        <w:rPr>
          <w:rFonts w:asciiTheme="minorEastAsia" w:hAnsiTheme="minorEastAsia" w:eastAsiaTheme="minorEastAsia" w:cstheme="minorEastAsia"/>
          <w:szCs w:val="21"/>
        </w:rPr>
        <w:t>MODS的诊断应由专科医生证实。</w:t>
      </w:r>
      <w:r>
        <w:rPr>
          <w:rFonts w:asciiTheme="minorEastAsia" w:hAnsiTheme="minorEastAsia" w:eastAsiaTheme="minorEastAsia" w:cstheme="minorEastAsia"/>
          <w:b/>
          <w:bCs/>
          <w:szCs w:val="21"/>
        </w:rPr>
        <w:t>非败血症引起的MODS不在保障范围内。</w:t>
      </w:r>
    </w:p>
    <w:p>
      <w:pPr>
        <w:pStyle w:val="16"/>
        <w:spacing w:line="360" w:lineRule="auto"/>
        <w:ind w:left="0" w:leftChars="0" w:firstLine="422"/>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3</w:t>
      </w:r>
      <w:r>
        <w:rPr>
          <w:rFonts w:hint="eastAsia" w:asciiTheme="minorEastAsia" w:hAnsiTheme="minorEastAsia" w:eastAsiaTheme="minorEastAsia" w:cstheme="minorEastAsia"/>
          <w:b/>
          <w:bCs/>
          <w:szCs w:val="21"/>
        </w:rPr>
        <w:t>、意外伤害：</w:t>
      </w:r>
      <w:bookmarkStart w:id="14" w:name="_Hlk28015926"/>
      <w:r>
        <w:rPr>
          <w:rFonts w:hint="eastAsia" w:ascii="宋体"/>
          <w:szCs w:val="21"/>
        </w:rPr>
        <w:t>指外来的、突发的、非本意的、非疾病的使身体受到伤害的客观事件</w:t>
      </w:r>
      <w:r>
        <w:rPr>
          <w:rFonts w:hint="eastAsia" w:ascii="宋体" w:hAnsi="宋体" w:cs="宋体"/>
          <w:szCs w:val="21"/>
        </w:rPr>
        <w:t>。</w:t>
      </w:r>
      <w:r>
        <w:rPr>
          <w:rFonts w:hint="eastAsia" w:asciiTheme="minorEastAsia" w:hAnsiTheme="minorEastAsia" w:eastAsiaTheme="minorEastAsia" w:cstheme="minorEastAsia"/>
          <w:b/>
          <w:bCs/>
          <w:szCs w:val="21"/>
        </w:rPr>
        <w:t>以下情形属于疾病范畴，非本条款所指意外伤害：</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（1）猝死：指由潜在疾病、身体机能障碍或其他非外来性原因所导致的、在出现急性症状后发生的突然死亡，以医院的诊断或公安、司法机关的鉴定为准；</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（2）过敏及由过敏引发的变态反应性疾病；</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3）高原反应；</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4）中暑；</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5）细菌、病毒或其他病原体导致的感染性疾病。</w:t>
      </w:r>
    </w:p>
    <w:bookmarkEnd w:id="14"/>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4、等待期：指自保险合同生效之日起计算的一段时间，具体天数由保险人和投保人在投保时约定并在本保险合同上载明。在等待期内发生保险事故的,保险人不承担给付保险金的责任。</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asciiTheme="minorEastAsia" w:hAnsiTheme="minorEastAsia" w:eastAsiaTheme="minorEastAsia" w:cstheme="minorEastAsia"/>
          <w:b/>
          <w:szCs w:val="21"/>
        </w:rPr>
        <w:t>5、医院</w:t>
      </w:r>
      <w:r>
        <w:rPr>
          <w:rFonts w:hint="eastAsia" w:asciiTheme="minorEastAsia" w:hAnsiTheme="minorEastAsia" w:eastAsiaTheme="minorEastAsia" w:cstheme="minorEastAsia"/>
          <w:b/>
          <w:bCs/>
          <w:szCs w:val="21"/>
        </w:rPr>
        <w:t>：是指</w:t>
      </w:r>
      <w:bookmarkStart w:id="15" w:name="_Hlk31886067"/>
      <w:r>
        <w:rPr>
          <w:rFonts w:hint="eastAsia" w:asciiTheme="minorEastAsia" w:hAnsiTheme="minorEastAsia" w:eastAsiaTheme="minorEastAsia" w:cstheme="minorEastAsia"/>
          <w:b/>
          <w:bCs/>
          <w:szCs w:val="21"/>
        </w:rPr>
        <w:t>经中华人民共和国卫生部门审核认定的二级或二级以上的公立医院</w:t>
      </w:r>
      <w:bookmarkEnd w:id="15"/>
      <w:r>
        <w:rPr>
          <w:rFonts w:hint="eastAsia" w:asciiTheme="minorEastAsia" w:hAnsiTheme="minorEastAsia" w:eastAsiaTheme="minorEastAsia" w:cstheme="minorEastAsia"/>
          <w:b/>
          <w:bCs/>
          <w:szCs w:val="21"/>
        </w:rPr>
        <w:t>，且仅限于上述医院的普通部，不包括如下机构或医疗服务：</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1）特需医疗、外宾医疗、干部病房、联合病房、国际医疗中心、VIP部、联合医院、A级病房；</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2）诊所、康复中心、家庭病床、护理机构；</w:t>
      </w:r>
    </w:p>
    <w:p>
      <w:pPr>
        <w:pStyle w:val="16"/>
        <w:numPr>
          <w:ilvl w:val="255"/>
          <w:numId w:val="0"/>
        </w:numPr>
        <w:spacing w:line="360" w:lineRule="auto"/>
        <w:ind w:firstLine="422" w:firstLineChars="20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3）休养、戒酒、戒毒中心。</w:t>
      </w:r>
    </w:p>
    <w:p>
      <w:pPr>
        <w:pStyle w:val="16"/>
        <w:spacing w:line="360" w:lineRule="auto"/>
        <w:ind w:left="0" w:leftChars="0"/>
        <w:rPr>
          <w:rFonts w:asciiTheme="minorEastAsia" w:hAnsiTheme="minorEastAsia" w:eastAsiaTheme="minorEastAsia" w:cstheme="minorEastAsia"/>
          <w:b/>
          <w:szCs w:val="21"/>
        </w:rPr>
      </w:pPr>
      <w:r>
        <w:rPr>
          <w:rFonts w:hint="eastAsia" w:asciiTheme="minorEastAsia" w:hAnsiTheme="minorEastAsia" w:eastAsiaTheme="minorEastAsia" w:cstheme="minorEastAsia"/>
          <w:kern w:val="0"/>
          <w:szCs w:val="21"/>
        </w:rPr>
        <w:t>该医院必须具有系统的、充分的诊断设备，全套外科手术设备及能够提供二十四小时的医疗与护理服务的能力或资质。</w:t>
      </w:r>
    </w:p>
    <w:p>
      <w:pPr>
        <w:pStyle w:val="16"/>
        <w:spacing w:line="360" w:lineRule="auto"/>
        <w:ind w:left="0" w:leftChars="0" w:firstLine="422"/>
        <w:rPr>
          <w:rFonts w:asciiTheme="minorEastAsia" w:hAnsiTheme="minorEastAsia" w:eastAsiaTheme="minorEastAsia" w:cstheme="minorEastAsia"/>
          <w:b/>
          <w:kern w:val="0"/>
          <w:szCs w:val="21"/>
        </w:rPr>
      </w:pPr>
      <w:r>
        <w:rPr>
          <w:rFonts w:asciiTheme="minorEastAsia" w:hAnsiTheme="minorEastAsia" w:eastAsiaTheme="minorEastAsia" w:cstheme="minorEastAsia"/>
          <w:b/>
          <w:szCs w:val="21"/>
        </w:rPr>
        <w:t>6、住院：</w:t>
      </w:r>
      <w:r>
        <w:rPr>
          <w:rFonts w:hint="eastAsia" w:asciiTheme="minorEastAsia" w:hAnsiTheme="minorEastAsia" w:eastAsiaTheme="minorEastAsia" w:cstheme="minorEastAsia"/>
          <w:kern w:val="0"/>
          <w:szCs w:val="21"/>
        </w:rPr>
        <w:t>是指被保险人因意外伤害或疾病而入住医院或指定医疗机构的正式病房接受全日</w:t>
      </w:r>
      <w:r>
        <w:rPr>
          <w:rFonts w:asciiTheme="minorEastAsia" w:hAnsiTheme="minorEastAsia" w:eastAsiaTheme="minorEastAsia" w:cstheme="minorEastAsia"/>
          <w:kern w:val="0"/>
          <w:szCs w:val="21"/>
        </w:rPr>
        <w:t>24小时监护治疗的过程，并正式办理入出院手续。</w:t>
      </w:r>
      <w:r>
        <w:rPr>
          <w:rFonts w:hint="eastAsia" w:asciiTheme="minorEastAsia" w:hAnsiTheme="minorEastAsia" w:eastAsiaTheme="minorEastAsia" w:cstheme="minorEastAsia"/>
          <w:b/>
          <w:kern w:val="0"/>
          <w:szCs w:val="21"/>
        </w:rPr>
        <w:t>但不包括下列情况：</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1）被保险人在医院或指定医疗机构的（门）急诊观察室、家庭病床（房）入住；</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2）被保险人在特需病房、外宾病房或其它不属于</w:t>
      </w:r>
      <w:r>
        <w:rPr>
          <w:rFonts w:hint="eastAsia" w:asciiTheme="minorEastAsia" w:hAnsiTheme="minorEastAsia" w:eastAsiaTheme="minorEastAsia" w:cstheme="minorEastAsia"/>
          <w:b/>
          <w:bCs/>
          <w:szCs w:val="21"/>
        </w:rPr>
        <w:t>基本医疗保险范畴的高等级病房入住；</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3）被保险人入住康复科、康复病床或接受康复治疗；</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4）被保险人住院期间一天内未接受与入院诊断相关的检查和治疗或一天内住院不满二十四小时,但</w:t>
      </w:r>
      <w:r>
        <w:rPr>
          <w:rFonts w:hint="eastAsia" w:asciiTheme="minorEastAsia" w:hAnsiTheme="minorEastAsia" w:eastAsiaTheme="minorEastAsia" w:cstheme="minorEastAsia"/>
          <w:b/>
          <w:bCs/>
          <w:szCs w:val="21"/>
        </w:rPr>
        <w:t>遵医嘱到外院接受临时治疗的除外；</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5）被保险人住院体检；</w:t>
      </w:r>
    </w:p>
    <w:p>
      <w:pPr>
        <w:pStyle w:val="16"/>
        <w:numPr>
          <w:ilvl w:val="255"/>
          <w:numId w:val="0"/>
        </w:numPr>
        <w:spacing w:line="360" w:lineRule="auto"/>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6）</w:t>
      </w:r>
      <w:r>
        <w:rPr>
          <w:rFonts w:hint="eastAsia" w:asciiTheme="minorEastAsia" w:hAnsiTheme="minorEastAsia" w:eastAsiaTheme="minorEastAsia" w:cstheme="minorEastAsia"/>
          <w:b/>
          <w:bCs/>
          <w:szCs w:val="21"/>
        </w:rPr>
        <w:t>挂床住院及其他不合理的住院。挂床住院指办理正式住院手续的被保险人，在住院期间每日非</w:t>
      </w:r>
      <w:r>
        <w:rPr>
          <w:rFonts w:asciiTheme="minorEastAsia" w:hAnsiTheme="minorEastAsia" w:eastAsiaTheme="minorEastAsia" w:cstheme="minorEastAsia"/>
          <w:b/>
          <w:bCs/>
          <w:szCs w:val="21"/>
        </w:rPr>
        <w:t>24小时在院。具体表现包括在住院期间连续若干日无任何治疗，只发生护理费、诊疗费、床位费等情况。</w:t>
      </w:r>
    </w:p>
    <w:p>
      <w:pPr>
        <w:pStyle w:val="16"/>
        <w:spacing w:line="360" w:lineRule="auto"/>
        <w:ind w:left="0" w:leftChars="0" w:firstLine="422"/>
        <w:rPr>
          <w:rFonts w:asciiTheme="minorEastAsia" w:hAnsiTheme="minorEastAsia" w:eastAsiaTheme="minorEastAsia" w:cstheme="minorEastAsia"/>
          <w:b/>
          <w:szCs w:val="21"/>
        </w:rPr>
      </w:pPr>
      <w:r>
        <w:rPr>
          <w:rFonts w:asciiTheme="minorEastAsia" w:hAnsiTheme="minorEastAsia" w:eastAsiaTheme="minorEastAsia" w:cstheme="minorEastAsia"/>
          <w:b/>
          <w:szCs w:val="21"/>
        </w:rPr>
        <w:t>7、必需且合理：指符合以下两个条件</w:t>
      </w:r>
    </w:p>
    <w:p>
      <w:pPr>
        <w:pStyle w:val="16"/>
        <w:numPr>
          <w:ilvl w:val="255"/>
          <w:numId w:val="0"/>
        </w:numPr>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1）符合通常惯例：指与接受医疗服务所在地通行治疗规范、通行治疗方法、平均医疗费用价格水平一致的费用。</w:t>
      </w:r>
    </w:p>
    <w:p>
      <w:pPr>
        <w:pStyle w:val="16"/>
        <w:numPr>
          <w:ilvl w:val="255"/>
          <w:numId w:val="0"/>
        </w:numPr>
        <w:spacing w:line="360" w:lineRule="auto"/>
        <w:ind w:firstLine="422"/>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是否符合通常惯例由保险人根据客观、审慎、合理的原则进行审核；如果被保险人对审核结果有不同意见，可由双方认同的权威医学机构或者权威医学专家进行审核鉴定。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2）</w:t>
      </w:r>
      <w:r>
        <w:rPr>
          <w:rFonts w:hint="eastAsia" w:asciiTheme="minorEastAsia" w:hAnsiTheme="minorEastAsia" w:eastAsiaTheme="minorEastAsia" w:cstheme="minorEastAsia"/>
          <w:b/>
          <w:bCs/>
          <w:szCs w:val="21"/>
        </w:rPr>
        <w:t>医学必要：指被保险</w:t>
      </w:r>
      <w:r>
        <w:rPr>
          <w:rFonts w:hint="eastAsia" w:asciiTheme="minorEastAsia" w:hAnsiTheme="minorEastAsia" w:eastAsiaTheme="minorEastAsia" w:cstheme="minorEastAsia"/>
          <w:b/>
          <w:szCs w:val="21"/>
        </w:rPr>
        <w:t>人接受治疗或服务、使用器械或服用药品符合以下条件：</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a.医师处方要求且对治疗被保险人疾病或伤害合适且必需；</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b.在范围、持续期、强度、护理上不超过为被保险人提供安全、恰当、合适的诊断或治疗所需的水平；</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c.与接受治疗当地普遍接受的医疗专业实践标准一致；</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d.非主要为了个人舒适或为了被保险人父母、家庭、医师或其他医疗提供方的方便；</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e.</w:t>
      </w:r>
      <w:r>
        <w:rPr>
          <w:rFonts w:hint="eastAsia" w:asciiTheme="minorEastAsia" w:hAnsiTheme="minorEastAsia" w:eastAsiaTheme="minorEastAsia" w:cstheme="minorEastAsia"/>
          <w:szCs w:val="21"/>
        </w:rPr>
        <w:t>非病人学术教育或职业培训的一部分或与之相关；</w:t>
      </w:r>
    </w:p>
    <w:p>
      <w:pPr>
        <w:pStyle w:val="16"/>
        <w:spacing w:line="360" w:lineRule="auto"/>
        <w:ind w:left="0" w:leftChars="0"/>
        <w:rPr>
          <w:rFonts w:asciiTheme="minorEastAsia" w:hAnsiTheme="minorEastAsia" w:eastAsiaTheme="minorEastAsia" w:cstheme="minorEastAsia"/>
          <w:szCs w:val="21"/>
        </w:rPr>
      </w:pPr>
      <w:r>
        <w:rPr>
          <w:rFonts w:asciiTheme="minorEastAsia" w:hAnsiTheme="minorEastAsia" w:eastAsiaTheme="minorEastAsia" w:cstheme="minorEastAsia"/>
          <w:szCs w:val="21"/>
        </w:rPr>
        <w:t>f.非试验性或研究性。</w:t>
      </w:r>
    </w:p>
    <w:p>
      <w:pPr>
        <w:pStyle w:val="16"/>
        <w:spacing w:line="360" w:lineRule="auto"/>
        <w:ind w:left="0" w:leftChars="0"/>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对是否医学必需由保险人根据客观、审慎、合理的原则进行审核；如果被保险人对审核结果有不同意见，可由双方认同的权威医学机构或者权威医学专家进行审核鉴定。</w:t>
      </w:r>
    </w:p>
    <w:p>
      <w:pPr>
        <w:pStyle w:val="16"/>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bCs/>
          <w:szCs w:val="21"/>
        </w:rPr>
        <w:t>8、住院医疗费用：</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1）床位费</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指住院期间实际发生的、不高于双人病房的住院床位费</w:t>
      </w:r>
      <w:r>
        <w:rPr>
          <w:rFonts w:hint="eastAsia" w:asciiTheme="minorEastAsia" w:hAnsiTheme="minorEastAsia" w:eastAsiaTheme="minorEastAsia" w:cstheme="minorEastAsia"/>
          <w:b/>
          <w:bCs/>
          <w:szCs w:val="21"/>
        </w:rPr>
        <w:t>（不包括单人病房、套房、家庭病床）。</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2）加床费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指未满</w:t>
      </w:r>
      <w:r>
        <w:rPr>
          <w:rFonts w:asciiTheme="minorEastAsia" w:hAnsiTheme="minorEastAsia" w:eastAsiaTheme="minorEastAsia" w:cstheme="minorEastAsia"/>
          <w:szCs w:val="21"/>
        </w:rPr>
        <w:t>18周岁的被保险人在住院治疗期间，保险人根据合同约定给付其合法监护人（</w:t>
      </w:r>
      <w:r>
        <w:rPr>
          <w:rFonts w:hint="eastAsia" w:asciiTheme="minorEastAsia" w:hAnsiTheme="minorEastAsia" w:eastAsiaTheme="minorEastAsia" w:cstheme="minorEastAsia"/>
          <w:szCs w:val="21"/>
        </w:rPr>
        <w:t>限一人）在合同约定的医院或指定医疗机构留宿发生的加床费；或女性被保险人在住院治疗期间，保险人根据合同约定给付其一周岁以下哺乳期婴儿在合同约定的医院或医疗机构留宿发生的加床费。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3）重症监护室床位费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指住院期间出于医学必要被保险人需在重症监护室进行合理且必要的医疗而产生的床位费。重症监护室指配有中心监护台、心电监护仪及其他监护抢救设施，相对封闭管理，符合重症监护病房（</w:t>
      </w:r>
      <w:r>
        <w:rPr>
          <w:rFonts w:asciiTheme="minorEastAsia" w:hAnsiTheme="minorEastAsia" w:eastAsiaTheme="minorEastAsia" w:cstheme="minorEastAsia"/>
          <w:szCs w:val="21"/>
        </w:rPr>
        <w:t>ICU）、冠心病重症监护病房（CCU）标准的单人或多人监护病房。</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4）药品费</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指住院期间实际发生的合理且必要的由医生开具的具有国家药品监督管理部门核发的药品批准文号或者进口药品注册证书、医药产品注册证书的国产或进口药品的费用。</w:t>
      </w:r>
      <w:r>
        <w:rPr>
          <w:rFonts w:hint="eastAsia" w:asciiTheme="minorEastAsia" w:hAnsiTheme="minorEastAsia" w:eastAsiaTheme="minorEastAsia" w:cstheme="minorEastAsia"/>
          <w:b/>
          <w:bCs/>
          <w:szCs w:val="21"/>
        </w:rPr>
        <w:t>但不包括营养补充类药品，免疫功能调节类药品，美容及减肥类药品，预防类药品，以及下列中药类药品：</w:t>
      </w:r>
    </w:p>
    <w:p>
      <w:pPr>
        <w:pStyle w:val="16"/>
        <w:spacing w:line="360" w:lineRule="auto"/>
        <w:ind w:left="0" w:leftChars="0" w:firstLine="422"/>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a.主要起营养滋补作用的单方、复方中药或中成药品，如花旗参，冬虫草，白糖参，朝鲜红参，玳瑁，蛤蚧，珊瑚，狗宝、红参，琥珀，灵芝，羚羊角尖粉，马宝，玛瑙，牛黄，麝香，西红花，血竭，燕窝，野山参，移山参，珍珠（粉），紫河车，阿胶，血宝胶囊，红桃K口服液，十全大补丸，十全大补膏等；</w:t>
      </w:r>
    </w:p>
    <w:p>
      <w:pPr>
        <w:pStyle w:val="16"/>
        <w:spacing w:line="360" w:lineRule="auto"/>
        <w:ind w:left="0" w:leftChars="0" w:firstLine="422"/>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b.部分可以入药的动物及动物脏器，如鹿茸，海马，胎盘，鞭，尾，筋，骨等；</w:t>
      </w:r>
    </w:p>
    <w:p>
      <w:pPr>
        <w:pStyle w:val="16"/>
        <w:spacing w:line="360" w:lineRule="auto"/>
        <w:ind w:left="0" w:leftChars="0" w:firstLine="422"/>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c.用中药材和中药饮片炮制的各类酒制剂等。</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5）膳食费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指住院期间根据医生的医嘱，由作为合同约定的医院或指定医疗机构内部专属部门的、为住院病人配餐的食堂配送的膳食费用。膳食费应包含在医疗账单内</w:t>
      </w:r>
      <w:r>
        <w:rPr>
          <w:rFonts w:asciiTheme="minorEastAsia" w:hAnsiTheme="minorEastAsia" w:eastAsiaTheme="minorEastAsia" w:cstheme="minorEastAsia"/>
          <w:szCs w:val="21"/>
        </w:rPr>
        <w:t>,根据各医院或指定医疗机构的惯例，可以作为独立的款项,也可以合并在病房费等其他款项内。</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6）治疗费</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指住院期间以治疗疾病为目的，提供必要的医学手段而发生的合理的治疗者的技术劳务费和医疗器械使用费，以及消耗品的费用，具体以就诊合同约定的医院或指定医疗机构的费用项目划分为准。</w:t>
      </w:r>
      <w:r>
        <w:rPr>
          <w:rFonts w:hint="eastAsia" w:asciiTheme="minorEastAsia" w:hAnsiTheme="minorEastAsia" w:eastAsiaTheme="minorEastAsia" w:cstheme="minorEastAsia"/>
          <w:b/>
          <w:bCs/>
          <w:szCs w:val="21"/>
        </w:rPr>
        <w:t>本项责任不包含如下费用：物理治疗、中医理疗及其他特殊疗法费用。</w:t>
      </w:r>
    </w:p>
    <w:p>
      <w:pPr>
        <w:pStyle w:val="16"/>
        <w:numPr>
          <w:ilvl w:val="0"/>
          <w:numId w:val="58"/>
        </w:numPr>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护理费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指住院期间根据医嘱所示的护理等级确定的护理费用。</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8）检查检验费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指住院期间实际发生的，以诊断疾病为目的，采取必要的医学手段进行检查及检验而发生的合理的医疗费用，包括</w:t>
      </w:r>
      <w:r>
        <w:rPr>
          <w:rFonts w:asciiTheme="minorEastAsia" w:hAnsiTheme="minorEastAsia" w:eastAsiaTheme="minorEastAsia" w:cstheme="minorEastAsia"/>
          <w:szCs w:val="21"/>
        </w:rPr>
        <w:t>X光费、心电图费、B超费、脑电图费、内窥镜费、肺功能仪费、分子生化检验费和血、尿、便常规检验费等。</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9）手术费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指当地卫生行政部门规定的手术项目的费用。包括手术费、麻醉费、手术监测费、手术材料费、术中用药费、手术设备费；</w:t>
      </w:r>
      <w:r>
        <w:rPr>
          <w:rFonts w:hint="eastAsia" w:asciiTheme="minorEastAsia" w:hAnsiTheme="minorEastAsia" w:eastAsiaTheme="minorEastAsia" w:cstheme="minorEastAsia"/>
          <w:b/>
          <w:bCs/>
          <w:szCs w:val="21"/>
        </w:rPr>
        <w:t>若因器官移植而发生的手术费用，不包括器官本身的费用和获取器官过程中的费用。</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10）医生费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指包括外科医生、麻醉师、内科医生、专科医生的费用。</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11）救护车使用费</w:t>
      </w:r>
    </w:p>
    <w:p>
      <w:pPr>
        <w:pStyle w:val="16"/>
        <w:spacing w:line="360" w:lineRule="auto"/>
        <w:ind w:left="0" w:leftChars="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指住院期间以抢救生命或治疗疾病为目的，根据医生建议，被保险人需医院转诊过程中的医院用车费用，且</w:t>
      </w:r>
      <w:r>
        <w:rPr>
          <w:rFonts w:hint="eastAsia" w:asciiTheme="minorEastAsia" w:hAnsiTheme="minorEastAsia" w:eastAsiaTheme="minorEastAsia" w:cstheme="minorEastAsia"/>
          <w:b/>
          <w:bCs/>
          <w:szCs w:val="21"/>
        </w:rPr>
        <w:t>救护车的使用仅限于同一城市中的医疗运送。</w:t>
      </w:r>
    </w:p>
    <w:p>
      <w:pPr>
        <w:pStyle w:val="16"/>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szCs w:val="21"/>
        </w:rPr>
        <w:t>9、专科医生：</w:t>
      </w:r>
      <w:r>
        <w:rPr>
          <w:rFonts w:hint="eastAsia" w:asciiTheme="minorEastAsia" w:hAnsiTheme="minorEastAsia" w:eastAsiaTheme="minorEastAsia" w:cstheme="minorEastAsia"/>
          <w:szCs w:val="21"/>
        </w:rPr>
        <w:t>专科医生应当同时满足以下四项资格条件，</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1）具有有效的中华人民共和国《医师资格证书》；</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2）具有有效的中华人民共和国《医师执业证书》，并按期到相关部门登记注册；</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3）具有有效的中华人民共和国主治医师或主治医师以上职称的《医师职称证书》；</w:t>
      </w:r>
    </w:p>
    <w:p>
      <w:pPr>
        <w:pStyle w:val="16"/>
        <w:numPr>
          <w:ilvl w:val="255"/>
          <w:numId w:val="0"/>
        </w:num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4）</w:t>
      </w:r>
      <w:r>
        <w:rPr>
          <w:rFonts w:hint="eastAsia" w:asciiTheme="minorEastAsia" w:hAnsiTheme="minorEastAsia" w:eastAsiaTheme="minorEastAsia" w:cstheme="minorEastAsia"/>
          <w:szCs w:val="21"/>
        </w:rPr>
        <w:t>在国家《医院分级管理标准》二级或二级以上医院的相应科室从事临床工作三年以上。</w:t>
      </w:r>
    </w:p>
    <w:p>
      <w:pPr>
        <w:pStyle w:val="16"/>
        <w:spacing w:line="360" w:lineRule="auto"/>
        <w:ind w:left="0" w:leftChars="0" w:firstLine="422"/>
        <w:rPr>
          <w:rFonts w:asciiTheme="minorEastAsia" w:hAnsiTheme="minorEastAsia" w:eastAsiaTheme="minorEastAsia" w:cstheme="minorEastAsia"/>
          <w:b/>
          <w:bCs/>
          <w:szCs w:val="21"/>
        </w:rPr>
      </w:pPr>
      <w:r>
        <w:rPr>
          <w:rFonts w:asciiTheme="minorEastAsia" w:hAnsiTheme="minorEastAsia" w:eastAsiaTheme="minorEastAsia" w:cstheme="minorEastAsia"/>
          <w:b/>
          <w:bCs/>
          <w:szCs w:val="21"/>
        </w:rPr>
        <w:t>10</w:t>
      </w:r>
      <w:r>
        <w:rPr>
          <w:rFonts w:hint="eastAsia" w:asciiTheme="minorEastAsia" w:hAnsiTheme="minorEastAsia" w:eastAsiaTheme="minorEastAsia" w:cstheme="minorEastAsia"/>
          <w:b/>
          <w:bCs/>
          <w:szCs w:val="21"/>
        </w:rPr>
        <w:t>、</w:t>
      </w:r>
      <w:r>
        <w:rPr>
          <w:rFonts w:asciiTheme="minorEastAsia" w:hAnsiTheme="minorEastAsia" w:eastAsiaTheme="minorEastAsia" w:cstheme="minorEastAsia"/>
          <w:b/>
          <w:bCs/>
          <w:szCs w:val="21"/>
        </w:rPr>
        <w:t>初次确诊：指自被保险人出生之日起第一次经医院或指定医疗机构确诊患有某种疾病，而不是指自本保险合同生效之后第一次经医院或指定医疗机构确诊患有某种疾病。</w:t>
      </w:r>
    </w:p>
    <w:p>
      <w:pPr>
        <w:pStyle w:val="16"/>
        <w:spacing w:line="360" w:lineRule="auto"/>
        <w:ind w:left="0" w:leftChars="0" w:firstLine="422"/>
        <w:rPr>
          <w:rFonts w:asciiTheme="minorEastAsia" w:hAnsiTheme="minorEastAsia" w:eastAsiaTheme="minorEastAsia" w:cstheme="minorEastAsia"/>
          <w:szCs w:val="21"/>
        </w:rPr>
      </w:pPr>
      <w:r>
        <w:rPr>
          <w:rFonts w:asciiTheme="minorEastAsia" w:hAnsiTheme="minorEastAsia" w:eastAsiaTheme="minorEastAsia" w:cstheme="minorEastAsia"/>
          <w:b/>
          <w:szCs w:val="21"/>
        </w:rPr>
        <w:t>1</w:t>
      </w:r>
      <w:r>
        <w:rPr>
          <w:rFonts w:hint="eastAsia" w:asciiTheme="minorEastAsia" w:hAnsiTheme="minorEastAsia" w:eastAsiaTheme="minorEastAsia" w:cstheme="minorEastAsia"/>
          <w:b/>
          <w:szCs w:val="21"/>
        </w:rPr>
        <w:t>1</w:t>
      </w:r>
      <w:r>
        <w:rPr>
          <w:rFonts w:asciiTheme="minorEastAsia" w:hAnsiTheme="minorEastAsia" w:eastAsiaTheme="minorEastAsia" w:cstheme="minorEastAsia"/>
          <w:b/>
          <w:szCs w:val="21"/>
        </w:rPr>
        <w:t>、重大疾病住院医疗费用：</w:t>
      </w:r>
      <w:r>
        <w:rPr>
          <w:rFonts w:hint="eastAsia" w:asciiTheme="minorEastAsia" w:hAnsiTheme="minorEastAsia" w:eastAsiaTheme="minorEastAsia" w:cstheme="minorEastAsia"/>
          <w:szCs w:val="21"/>
        </w:rPr>
        <w:t>包括床位费、加床费、重症监护室床位费、护理费、膳食费、检查检验费、治疗费、药品费、医生费、手术费、救护车使用费。</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12、基本医疗保险：</w:t>
      </w:r>
      <w:r>
        <w:rPr>
          <w:rFonts w:hint="eastAsia" w:asciiTheme="minorEastAsia" w:hAnsiTheme="minorEastAsia" w:eastAsiaTheme="minorEastAsia" w:cstheme="minorEastAsia"/>
          <w:szCs w:val="21"/>
        </w:rPr>
        <w:t>本保险合同所称的基本医疗保险包括城镇职工基本医疗保险、城镇居民基本医疗保险、新型农村合作医疗等政府举办的社会基本医疗保障项目。</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13</w:t>
      </w:r>
      <w:r>
        <w:rPr>
          <w:rFonts w:asciiTheme="minorEastAsia" w:hAnsiTheme="minorEastAsia" w:eastAsiaTheme="minorEastAsia" w:cstheme="minorEastAsia"/>
          <w:b/>
          <w:bCs/>
          <w:szCs w:val="21"/>
        </w:rPr>
        <w:t>、</w:t>
      </w:r>
      <w:r>
        <w:rPr>
          <w:rFonts w:hint="eastAsia" w:asciiTheme="minorEastAsia" w:hAnsiTheme="minorEastAsia" w:eastAsiaTheme="minorEastAsia" w:cstheme="minorEastAsia"/>
          <w:b/>
          <w:szCs w:val="21"/>
        </w:rPr>
        <w:t>既往症：</w:t>
      </w:r>
      <w:r>
        <w:rPr>
          <w:rFonts w:hint="eastAsia" w:asciiTheme="minorEastAsia" w:hAnsiTheme="minorEastAsia" w:eastAsiaTheme="minorEastAsia" w:cstheme="minorEastAsia"/>
          <w:szCs w:val="21"/>
        </w:rPr>
        <w:t>指在本保险合同（续保的，指首次投保保险合同生效之前）生效之前罹患的被保险人已知或应该知道的有关疾病。通常有以下情况：</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1）本保险合同生效前，医生已有明确诊断，长期治疗未间断；</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2）本保险合同生效前，医生已有明确诊断，治疗后症状未完全消失，有间断用药情况；</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3）本保险合同生效前，医生已有明确诊断，但未予治疗。</w:t>
      </w:r>
    </w:p>
    <w:p>
      <w:pPr>
        <w:widowControl/>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14</w:t>
      </w:r>
      <w:r>
        <w:rPr>
          <w:rFonts w:asciiTheme="minorEastAsia" w:hAnsiTheme="minorEastAsia" w:eastAsiaTheme="minorEastAsia" w:cstheme="minorEastAsia"/>
          <w:b/>
          <w:szCs w:val="21"/>
        </w:rPr>
        <w:t>、遗传性疾病：</w:t>
      </w:r>
      <w:r>
        <w:rPr>
          <w:rFonts w:hint="eastAsia" w:asciiTheme="minorEastAsia" w:hAnsiTheme="minorEastAsia" w:eastAsiaTheme="minorEastAsia" w:cstheme="minorEastAsia"/>
          <w:color w:val="000000"/>
          <w:kern w:val="0"/>
          <w:szCs w:val="21"/>
          <w:lang w:bidi="ar"/>
        </w:rPr>
        <w:t>指生殖细胞或受精卵的遗传物质（染色体和基因）发生突变或畸变所引起的疾病，通常具有由亲代传至后代的垂直传递的特征。</w:t>
      </w:r>
    </w:p>
    <w:p>
      <w:pPr>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15</w:t>
      </w:r>
      <w:r>
        <w:rPr>
          <w:rFonts w:asciiTheme="minorEastAsia" w:hAnsiTheme="minorEastAsia" w:eastAsiaTheme="minorEastAsia" w:cstheme="minorEastAsia"/>
          <w:b/>
          <w:szCs w:val="21"/>
        </w:rPr>
        <w:t>、先天性畸形、变形或染色体异常：</w:t>
      </w:r>
      <w:r>
        <w:rPr>
          <w:rFonts w:hint="eastAsia" w:asciiTheme="minorEastAsia" w:hAnsiTheme="minorEastAsia" w:eastAsiaTheme="minorEastAsia" w:cstheme="minorEastAsia"/>
          <w:bCs/>
          <w:szCs w:val="21"/>
        </w:rPr>
        <w:t>指被保险人出生时就具有的畸形、变形或染色体异常。先天性畸形、变形和染色体异常依照世界卫生组织《疾病和有关健康问题的国际统计分类》第十次修订版（ICD-10）分类确定。</w:t>
      </w:r>
      <w:r>
        <w:rPr>
          <w:rFonts w:asciiTheme="minorEastAsia" w:hAnsiTheme="minorEastAsia" w:eastAsiaTheme="minorEastAsia" w:cstheme="minorEastAsia"/>
          <w:bCs/>
          <w:szCs w:val="21"/>
        </w:rPr>
        <w:t xml:space="preserve"> </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16、</w:t>
      </w:r>
      <w:r>
        <w:rPr>
          <w:rFonts w:asciiTheme="minorEastAsia" w:hAnsiTheme="minorEastAsia" w:eastAsiaTheme="minorEastAsia" w:cstheme="minorEastAsia"/>
          <w:b/>
          <w:szCs w:val="21"/>
        </w:rPr>
        <w:t>醉酒：</w:t>
      </w:r>
      <w:r>
        <w:rPr>
          <w:rFonts w:hint="eastAsia" w:asciiTheme="minorEastAsia" w:hAnsiTheme="minorEastAsia" w:eastAsiaTheme="minorEastAsia" w:cstheme="minorEastAsia"/>
          <w:szCs w:val="21"/>
        </w:rPr>
        <w:t>指每百毫升血液的酒精含量大于或等于</w:t>
      </w:r>
      <w:r>
        <w:rPr>
          <w:rFonts w:asciiTheme="minorEastAsia" w:hAnsiTheme="minorEastAsia" w:eastAsiaTheme="minorEastAsia" w:cstheme="minorEastAsia"/>
          <w:szCs w:val="21"/>
        </w:rPr>
        <w:t>100毫克。</w:t>
      </w:r>
    </w:p>
    <w:p>
      <w:pPr>
        <w:pStyle w:val="16"/>
        <w:spacing w:line="360" w:lineRule="auto"/>
        <w:ind w:left="0" w:leftChars="0" w:firstLine="422"/>
        <w:rPr>
          <w:rFonts w:asciiTheme="minorEastAsia" w:hAnsiTheme="minorEastAsia" w:eastAsiaTheme="minorEastAsia" w:cstheme="minorEastAsia"/>
          <w:b/>
          <w:bCs/>
          <w:szCs w:val="21"/>
        </w:rPr>
      </w:pPr>
      <w:r>
        <w:rPr>
          <w:rFonts w:hint="eastAsia" w:asciiTheme="minorEastAsia" w:hAnsiTheme="minorEastAsia" w:eastAsiaTheme="minorEastAsia" w:cstheme="minorEastAsia"/>
          <w:b/>
          <w:szCs w:val="21"/>
        </w:rPr>
        <w:t>17</w:t>
      </w:r>
      <w:r>
        <w:rPr>
          <w:rFonts w:asciiTheme="minorEastAsia" w:hAnsiTheme="minorEastAsia" w:eastAsiaTheme="minorEastAsia" w:cstheme="minorEastAsia"/>
          <w:b/>
          <w:szCs w:val="21"/>
        </w:rPr>
        <w:t>、毒品：</w:t>
      </w:r>
      <w:r>
        <w:rPr>
          <w:rFonts w:hint="eastAsia" w:asciiTheme="minorEastAsia" w:hAnsiTheme="minorEastAsia" w:eastAsiaTheme="minorEastAsia" w:cstheme="minorEastAsia"/>
          <w:szCs w:val="21"/>
        </w:rPr>
        <w:t>指中华人民共和国刑法规定的鸦片、海洛因、甲基苯丙胺（冰毒）、吗啡、大麻、可卡因以及国家规定管制的其他能够使人形成瘾癖的麻醉药品和精神药品，</w:t>
      </w:r>
      <w:r>
        <w:rPr>
          <w:rFonts w:hint="eastAsia" w:asciiTheme="minorEastAsia" w:hAnsiTheme="minorEastAsia" w:eastAsiaTheme="minorEastAsia" w:cstheme="minorEastAsia"/>
          <w:b/>
          <w:bCs/>
          <w:szCs w:val="21"/>
        </w:rPr>
        <w:t>但不包括由医生开具并遵医嘱使用的用于治疗疾病但含有毒品成分的处方药品。</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18</w:t>
      </w:r>
      <w:r>
        <w:rPr>
          <w:rFonts w:asciiTheme="minorEastAsia" w:hAnsiTheme="minorEastAsia" w:eastAsiaTheme="minorEastAsia" w:cstheme="minorEastAsia"/>
          <w:b/>
          <w:szCs w:val="21"/>
        </w:rPr>
        <w:t>、酒后驾驶：</w:t>
      </w:r>
      <w:r>
        <w:rPr>
          <w:rFonts w:hint="eastAsia" w:asciiTheme="minorEastAsia" w:hAnsiTheme="minorEastAsia" w:eastAsiaTheme="minorEastAsia" w:cstheme="minorEastAsia"/>
          <w:szCs w:val="21"/>
        </w:rPr>
        <w:t>指经检测或鉴定，发生事故时车辆驾驶人员每百毫升血液中的酒精含量达到或超过一定的标准，公安机关交通管理部门依据《道路交通安全法》的规定认定为饮酒后驾驶或醉酒后驾驶。</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19</w:t>
      </w:r>
      <w:r>
        <w:rPr>
          <w:rFonts w:asciiTheme="minorEastAsia" w:hAnsiTheme="minorEastAsia" w:eastAsiaTheme="minorEastAsia" w:cstheme="minorEastAsia"/>
          <w:b/>
          <w:szCs w:val="21"/>
        </w:rPr>
        <w:t>、无合法有效驾驶证，指下列情形之一：</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1）没有取得驾驶资格；</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2）驾驶的机动车与驾驶证载明的准驾车型不相符合；</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3）持审验不合格的驾驶证驾驶，或使用各种专用机械车、特种车的人员无国家有关部门核发的有效操作证；</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4）持学习驾驶证学习驾车时，无教练员随车指导，或不按指定时间、路线学习驾车；</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5）无驾驶证，驾驶证被依法扣留、暂扣、吊销、注销期间或驾驶证载明的有效期已届满，被保险人未及时更换新驾驶证；</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6）依照法律法规或公安机关交通管理部门有关约定不允许驾驶机动车的其他情况下驾车。</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20</w:t>
      </w:r>
      <w:r>
        <w:rPr>
          <w:rFonts w:asciiTheme="minorEastAsia" w:hAnsiTheme="minorEastAsia" w:eastAsiaTheme="minorEastAsia" w:cstheme="minorEastAsia"/>
          <w:b/>
          <w:szCs w:val="21"/>
        </w:rPr>
        <w:t>、</w:t>
      </w:r>
      <w:r>
        <w:rPr>
          <w:rFonts w:hint="eastAsia" w:ascii="宋体" w:hAnsi="宋体"/>
          <w:b/>
        </w:rPr>
        <w:t>无合法有效行驶证</w:t>
      </w:r>
      <w:r>
        <w:rPr>
          <w:rFonts w:asciiTheme="minorEastAsia" w:hAnsiTheme="minorEastAsia" w:eastAsiaTheme="minorEastAsia" w:cstheme="minorEastAsia"/>
          <w:b/>
          <w:szCs w:val="21"/>
        </w:rPr>
        <w:t>，指下列情形之一：</w:t>
      </w:r>
    </w:p>
    <w:p>
      <w:pPr>
        <w:pStyle w:val="16"/>
        <w:spacing w:line="360" w:lineRule="auto"/>
        <w:ind w:left="0" w:leftChars="0"/>
        <w:rPr>
          <w:rFonts w:asciiTheme="minorEastAsia" w:hAnsiTheme="minorEastAsia" w:eastAsiaTheme="minorEastAsia" w:cstheme="minorEastAsia"/>
          <w:szCs w:val="21"/>
        </w:rPr>
      </w:pPr>
      <w:bookmarkStart w:id="16" w:name="_Hlk28006599"/>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1）发生保险事故时无公安机关交通管理部门核发的合法有效的行驶证、号牌，或临时号牌或临时移动号牌；</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asciiTheme="minorEastAsia" w:hAnsiTheme="minorEastAsia" w:eastAsiaTheme="minorEastAsia" w:cstheme="minorEastAsia"/>
          <w:szCs w:val="21"/>
        </w:rPr>
        <w:t>2）未依法按时进行或通过机动车安全技术检验</w:t>
      </w:r>
      <w:r>
        <w:rPr>
          <w:rFonts w:hint="eastAsia" w:asciiTheme="minorEastAsia" w:hAnsiTheme="minorEastAsia" w:eastAsiaTheme="minorEastAsia" w:cstheme="minorEastAsia"/>
          <w:szCs w:val="21"/>
        </w:rPr>
        <w:t>。</w:t>
      </w:r>
    </w:p>
    <w:bookmarkEnd w:id="16"/>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21</w:t>
      </w:r>
      <w:r>
        <w:rPr>
          <w:rFonts w:asciiTheme="minorEastAsia" w:hAnsiTheme="minorEastAsia" w:eastAsiaTheme="minorEastAsia" w:cstheme="minorEastAsia"/>
          <w:b/>
          <w:szCs w:val="21"/>
        </w:rPr>
        <w:t>、机动车：</w:t>
      </w:r>
      <w:r>
        <w:rPr>
          <w:rFonts w:hint="eastAsia" w:asciiTheme="minorEastAsia" w:hAnsiTheme="minorEastAsia" w:eastAsiaTheme="minorEastAsia" w:cstheme="minorEastAsia"/>
          <w:szCs w:val="21"/>
        </w:rPr>
        <w:t>指以动力装置驱动或者牵引，上道路行驶的供人员乘用或者用于运送物品以及进行工程专项作业的轮式车辆。</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22</w:t>
      </w:r>
      <w:r>
        <w:rPr>
          <w:rFonts w:asciiTheme="minorEastAsia" w:hAnsiTheme="minorEastAsia" w:eastAsiaTheme="minorEastAsia" w:cstheme="minorEastAsia"/>
          <w:b/>
          <w:bCs/>
          <w:szCs w:val="21"/>
        </w:rPr>
        <w:t>、高风险运动：</w:t>
      </w:r>
      <w:r>
        <w:rPr>
          <w:rFonts w:hint="eastAsia" w:asciiTheme="minorEastAsia" w:hAnsiTheme="minorEastAsia" w:eastAsiaTheme="minorEastAsia" w:cstheme="minorEastAsia"/>
          <w:bCs/>
          <w:szCs w:val="21"/>
        </w:rPr>
        <w:t>本保险合同所定义的高风险运动是指潜水、跳伞、攀岩、蹦极、驾驶滑翔机或滑翔伞、探险活动、武术比赛、摔跤比赛、特技表演、赛马、赛车等运动。其中：</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1）潜水：</w:t>
      </w:r>
      <w:r>
        <w:rPr>
          <w:rFonts w:hint="eastAsia" w:asciiTheme="minorEastAsia" w:hAnsiTheme="minorEastAsia" w:eastAsiaTheme="minorEastAsia" w:cstheme="minorEastAsia"/>
          <w:szCs w:val="21"/>
        </w:rPr>
        <w:t>指使用辅助呼吸器材在江、河、湖、海、水库、运河等水域进行的水下运动。</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2）攀岩：</w:t>
      </w:r>
      <w:r>
        <w:rPr>
          <w:rFonts w:hint="eastAsia" w:asciiTheme="minorEastAsia" w:hAnsiTheme="minorEastAsia" w:eastAsiaTheme="minorEastAsia" w:cstheme="minorEastAsia"/>
          <w:szCs w:val="21"/>
        </w:rPr>
        <w:t>指攀登悬崖、楼宇外墙、人造悬崖、冰崖、冰山等运动。</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3）探险活动：</w:t>
      </w:r>
      <w:r>
        <w:rPr>
          <w:rFonts w:hint="eastAsia" w:asciiTheme="minorEastAsia" w:hAnsiTheme="minorEastAsia" w:eastAsiaTheme="minorEastAsia" w:cstheme="minorEastAsia"/>
          <w:szCs w:val="21"/>
        </w:rPr>
        <w:t>指明知在某种特定的自然条件下有失去生命或使身体受到伤害的危险，而故意使自己置身于其中的行为，如：江河漂流、登山、徒步穿越沙漠或人迹罕至的原始森林等活动。</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4）武术比赛：</w:t>
      </w:r>
      <w:r>
        <w:rPr>
          <w:rFonts w:hint="eastAsia" w:asciiTheme="minorEastAsia" w:hAnsiTheme="minorEastAsia" w:eastAsiaTheme="minorEastAsia" w:cstheme="minorEastAsia"/>
          <w:szCs w:val="21"/>
        </w:rPr>
        <w:t>指两人或两人以上对抗性柔道、空手道、跆拳道、散打、拳击等各种拳术及使用器械的对抗性比赛。</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r>
        <w:rPr>
          <w:rFonts w:asciiTheme="minorEastAsia" w:hAnsiTheme="minorEastAsia" w:eastAsiaTheme="minorEastAsia" w:cstheme="minorEastAsia"/>
          <w:b/>
          <w:szCs w:val="21"/>
        </w:rPr>
        <w:t>5）特技表演：</w:t>
      </w:r>
      <w:r>
        <w:rPr>
          <w:rFonts w:hint="eastAsia" w:asciiTheme="minorEastAsia" w:hAnsiTheme="minorEastAsia" w:eastAsiaTheme="minorEastAsia" w:cstheme="minorEastAsia"/>
          <w:szCs w:val="21"/>
        </w:rPr>
        <w:t>指进行马术、杂技、驯兽等表演。</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23</w:t>
      </w:r>
      <w:r>
        <w:rPr>
          <w:rFonts w:asciiTheme="minorEastAsia" w:hAnsiTheme="minorEastAsia" w:eastAsiaTheme="minorEastAsia" w:cstheme="minorEastAsia"/>
          <w:b/>
          <w:szCs w:val="21"/>
        </w:rPr>
        <w:t>、职业病：</w:t>
      </w:r>
      <w:r>
        <w:rPr>
          <w:rFonts w:hint="eastAsia" w:asciiTheme="minorEastAsia" w:hAnsiTheme="minorEastAsia" w:eastAsiaTheme="minorEastAsia" w:cstheme="minorEastAsia"/>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24</w:t>
      </w:r>
      <w:r>
        <w:rPr>
          <w:rFonts w:asciiTheme="minorEastAsia" w:hAnsiTheme="minorEastAsia" w:eastAsiaTheme="minorEastAsia" w:cstheme="minorEastAsia"/>
          <w:b/>
          <w:szCs w:val="21"/>
        </w:rPr>
        <w:t>、医疗事故：</w:t>
      </w:r>
      <w:r>
        <w:rPr>
          <w:rFonts w:hint="eastAsia" w:asciiTheme="minorEastAsia" w:hAnsiTheme="minorEastAsia" w:eastAsiaTheme="minorEastAsia" w:cstheme="minorEastAsia"/>
          <w:szCs w:val="21"/>
        </w:rPr>
        <w:t>指医院或指定医疗机构及其医务人员在医疗活动中，违反医疗卫生管理法律、行政法规、部门规章和诊疗护理规范及常规，过失造成患者人身损害的事故。</w:t>
      </w:r>
    </w:p>
    <w:p>
      <w:pPr>
        <w:widowControl/>
        <w:spacing w:line="360" w:lineRule="auto"/>
        <w:ind w:firstLine="422" w:firstLineChars="200"/>
        <w:jc w:val="left"/>
        <w:rPr>
          <w:rFonts w:cs="宋体" w:asciiTheme="minorEastAsia" w:hAnsiTheme="minorEastAsia" w:eastAsiaTheme="minorEastAsia"/>
          <w:szCs w:val="21"/>
        </w:rPr>
      </w:pPr>
      <w:r>
        <w:rPr>
          <w:rFonts w:hint="eastAsia" w:asciiTheme="minorEastAsia" w:hAnsiTheme="minorEastAsia" w:eastAsiaTheme="minorEastAsia" w:cstheme="minorEastAsia"/>
          <w:b/>
          <w:bCs/>
          <w:szCs w:val="21"/>
        </w:rPr>
        <w:t>25</w:t>
      </w:r>
      <w:r>
        <w:rPr>
          <w:rFonts w:asciiTheme="minorEastAsia" w:hAnsiTheme="minorEastAsia" w:eastAsiaTheme="minorEastAsia" w:cstheme="minorEastAsia"/>
          <w:b/>
          <w:bCs/>
          <w:szCs w:val="21"/>
        </w:rPr>
        <w:t>、感</w:t>
      </w:r>
      <w:r>
        <w:rPr>
          <w:rFonts w:hint="eastAsia" w:asciiTheme="minorEastAsia" w:hAnsiTheme="minorEastAsia" w:eastAsiaTheme="minorEastAsia" w:cstheme="minorEastAsia"/>
          <w:b/>
          <w:szCs w:val="21"/>
        </w:rPr>
        <w:t>染艾滋病病毒或患艾滋病：</w:t>
      </w:r>
      <w:r>
        <w:rPr>
          <w:rFonts w:hint="eastAsia" w:cs="宋体" w:asciiTheme="minorEastAsia" w:hAnsiTheme="minorEastAsia" w:eastAsiaTheme="minorEastAsia"/>
          <w:color w:val="000000"/>
          <w:kern w:val="0"/>
          <w:szCs w:val="21"/>
          <w:lang w:bidi="ar"/>
        </w:rPr>
        <w:t>艾滋病病毒指人类免疫缺陷病毒，英文缩写为</w:t>
      </w:r>
      <w:r>
        <w:rPr>
          <w:rFonts w:cs="宋体" w:asciiTheme="minorEastAsia" w:hAnsiTheme="minorEastAsia" w:eastAsiaTheme="minorEastAsia"/>
          <w:color w:val="000000"/>
          <w:kern w:val="0"/>
          <w:szCs w:val="21"/>
          <w:lang w:bidi="ar"/>
        </w:rPr>
        <w:t xml:space="preserve"> HIV。艾滋病指人 类免疫缺陷病毒引起的获得性免疫缺陷综合征，英文缩写为 AIDS。 </w:t>
      </w:r>
    </w:p>
    <w:p>
      <w:pPr>
        <w:pStyle w:val="16"/>
        <w:spacing w:line="360" w:lineRule="auto"/>
        <w:ind w:left="0" w:leftChars="0"/>
        <w:rPr>
          <w:rFonts w:asciiTheme="minorEastAsia" w:hAnsiTheme="minorEastAsia" w:eastAsiaTheme="minorEastAsia" w:cstheme="minorEastAsia"/>
          <w:szCs w:val="21"/>
        </w:rPr>
      </w:pPr>
      <w:r>
        <w:rPr>
          <w:rFonts w:hint="eastAsia" w:cs="宋体" w:asciiTheme="minorEastAsia" w:hAnsiTheme="minorEastAsia" w:eastAsiaTheme="minorEastAsia"/>
          <w:color w:val="000000"/>
          <w:kern w:val="0"/>
          <w:szCs w:val="21"/>
          <w:lang w:bidi="ar"/>
        </w:rPr>
        <w:t>在人体血液或其他样本中检测到艾滋病病毒或其抗体呈阳性，没有出现临床症状或体征的，为感染艾滋病病毒；如果同时出现了明显临床症状或体征的，为患艾滋病。</w:t>
      </w:r>
    </w:p>
    <w:p>
      <w:pPr>
        <w:pStyle w:val="16"/>
        <w:spacing w:line="360" w:lineRule="auto"/>
        <w:ind w:left="0" w:leftChars="0" w:firstLine="422"/>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2</w:t>
      </w:r>
      <w:r>
        <w:rPr>
          <w:rFonts w:asciiTheme="minorEastAsia" w:hAnsiTheme="minorEastAsia" w:eastAsiaTheme="minorEastAsia" w:cstheme="minorEastAsia"/>
          <w:b/>
          <w:szCs w:val="21"/>
        </w:rPr>
        <w:t>6、</w:t>
      </w:r>
      <w:r>
        <w:rPr>
          <w:rFonts w:hint="eastAsia" w:asciiTheme="minorEastAsia" w:hAnsiTheme="minorEastAsia" w:eastAsiaTheme="minorEastAsia" w:cstheme="minorEastAsia"/>
          <w:b/>
          <w:szCs w:val="21"/>
        </w:rPr>
        <w:t>未满期保险费</w:t>
      </w:r>
      <w:r>
        <w:rPr>
          <w:rFonts w:asciiTheme="minorEastAsia" w:hAnsiTheme="minorEastAsia" w:eastAsiaTheme="minorEastAsia" w:cstheme="minorEastAsia"/>
          <w:b/>
          <w:szCs w:val="21"/>
        </w:rPr>
        <w:t>：</w:t>
      </w:r>
      <w:r>
        <w:rPr>
          <w:rFonts w:hint="eastAsia" w:asciiTheme="minorEastAsia" w:hAnsiTheme="minorEastAsia" w:eastAsiaTheme="minorEastAsia" w:cstheme="minorEastAsia"/>
          <w:bCs/>
          <w:szCs w:val="21"/>
        </w:rPr>
        <w:t>除另有约定外，按下述公式计算未满期保险费：</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若选择一次性缴付保险费，未满期保险费=保险费×（1-m/n），其中，m为已生效天数，n为保险期间的天数，经过日期不足一日的按一日计算。</w:t>
      </w:r>
    </w:p>
    <w:p>
      <w:pPr>
        <w:pStyle w:val="16"/>
        <w:spacing w:line="360" w:lineRule="auto"/>
        <w:ind w:left="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若选择分期缴付保险费，未满期保险费=当期保险费×（1-m/n）,其中，m为当期已生效天数，n为当期天数，经过日期不足一日的按一日计算。</w:t>
      </w:r>
    </w:p>
    <w:p>
      <w:pPr>
        <w:pStyle w:val="16"/>
        <w:spacing w:line="360" w:lineRule="auto"/>
        <w:ind w:left="0" w:leftChars="0" w:firstLine="422"/>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w:t>
      </w:r>
      <w:r>
        <w:rPr>
          <w:rFonts w:asciiTheme="minorEastAsia" w:hAnsiTheme="minorEastAsia" w:eastAsiaTheme="minorEastAsia" w:cstheme="minorEastAsia"/>
          <w:b/>
          <w:szCs w:val="21"/>
        </w:rPr>
        <w:t>7</w:t>
      </w:r>
      <w:r>
        <w:rPr>
          <w:rFonts w:hint="eastAsia" w:asciiTheme="minorEastAsia" w:hAnsiTheme="minorEastAsia" w:eastAsiaTheme="minorEastAsia" w:cstheme="minorEastAsia"/>
          <w:b/>
          <w:szCs w:val="21"/>
        </w:rPr>
        <w:t>、职业分类：</w:t>
      </w:r>
      <w:r>
        <w:rPr>
          <w:rFonts w:hint="eastAsia" w:asciiTheme="minorEastAsia" w:hAnsiTheme="minorEastAsia" w:eastAsiaTheme="minorEastAsia" w:cstheme="minorEastAsia"/>
          <w:szCs w:val="21"/>
        </w:rPr>
        <w:t>按照工作性质同一性的基本原则，对被保险人所从事的工作进行职业分类。具体分类以华农财产保险股份有限公司官方网站公开信息披露的发布为准。</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2</w:t>
      </w:r>
      <w:r>
        <w:rPr>
          <w:rFonts w:asciiTheme="minorEastAsia" w:hAnsiTheme="minorEastAsia" w:eastAsiaTheme="minorEastAsia" w:cstheme="minorEastAsia"/>
          <w:b/>
          <w:bCs/>
          <w:szCs w:val="21"/>
        </w:rPr>
        <w:t>8、不可抗力：</w:t>
      </w:r>
      <w:r>
        <w:rPr>
          <w:rFonts w:hint="eastAsia" w:asciiTheme="minorEastAsia" w:hAnsiTheme="minorEastAsia" w:eastAsiaTheme="minorEastAsia" w:cstheme="minorEastAsia"/>
          <w:szCs w:val="21"/>
        </w:rPr>
        <w:t>指不能预见、不能避免并不能克服的客观情况。</w:t>
      </w:r>
    </w:p>
    <w:p>
      <w:pPr>
        <w:pStyle w:val="20"/>
        <w:autoSpaceDE w:val="0"/>
        <w:autoSpaceDN w:val="0"/>
        <w:adjustRightInd w:val="0"/>
        <w:snapToGrid w:val="0"/>
        <w:spacing w:line="360" w:lineRule="auto"/>
        <w:ind w:firstLine="422"/>
        <w:rPr>
          <w:rFonts w:asciiTheme="minorEastAsia" w:hAnsiTheme="minorEastAsia" w:eastAsiaTheme="minorEastAsia" w:cstheme="minorEastAsia"/>
          <w:b/>
          <w:szCs w:val="21"/>
        </w:rPr>
      </w:pPr>
      <w:r>
        <w:rPr>
          <w:rFonts w:asciiTheme="minorEastAsia" w:hAnsiTheme="minorEastAsia" w:eastAsiaTheme="minorEastAsia" w:cstheme="minorEastAsia"/>
          <w:b/>
          <w:szCs w:val="21"/>
        </w:rPr>
        <w:t>29、</w:t>
      </w:r>
      <w:r>
        <w:rPr>
          <w:rFonts w:hint="eastAsia" w:asciiTheme="minorEastAsia" w:hAnsiTheme="minorEastAsia" w:eastAsiaTheme="minorEastAsia" w:cstheme="minorEastAsia"/>
          <w:b/>
          <w:bCs/>
          <w:szCs w:val="21"/>
        </w:rPr>
        <w:t>保险金申请人</w:t>
      </w:r>
      <w:r>
        <w:rPr>
          <w:rFonts w:hint="eastAsia" w:asciiTheme="minorEastAsia" w:hAnsiTheme="minorEastAsia" w:eastAsiaTheme="minorEastAsia" w:cstheme="minorEastAsia"/>
          <w:szCs w:val="21"/>
        </w:rPr>
        <w:t>：指被保险人，受益人，被保险人、受益人的继承人或其他依法享有保险金请求权的其他自然人。</w:t>
      </w:r>
    </w:p>
    <w:p>
      <w:pPr>
        <w:widowControl/>
        <w:spacing w:line="360" w:lineRule="auto"/>
        <w:ind w:firstLine="422" w:firstLineChars="200"/>
        <w:jc w:val="lef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w:t>
      </w:r>
      <w:r>
        <w:rPr>
          <w:rFonts w:asciiTheme="minorEastAsia" w:hAnsiTheme="minorEastAsia" w:eastAsiaTheme="minorEastAsia" w:cstheme="minorEastAsia"/>
          <w:b/>
          <w:szCs w:val="21"/>
        </w:rPr>
        <w:t>0、有效身份证件：</w:t>
      </w:r>
      <w:r>
        <w:rPr>
          <w:rFonts w:hint="eastAsia" w:asciiTheme="minorEastAsia" w:hAnsiTheme="minorEastAsia" w:eastAsiaTheme="minorEastAsia" w:cstheme="minorEastAsia"/>
          <w:bCs/>
          <w:szCs w:val="21"/>
        </w:rPr>
        <w:t>指由政府主管部门规定的证明其身份的证件，包括但不限于有效居民身份证、按规定可使用的有效护照、军官证、警官证、士兵证等证件。</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color w:val="000000"/>
          <w:kern w:val="0"/>
          <w:szCs w:val="21"/>
          <w:lang w:bidi="ar"/>
        </w:rPr>
        <w:t>3</w:t>
      </w:r>
      <w:r>
        <w:rPr>
          <w:rFonts w:asciiTheme="minorEastAsia" w:hAnsiTheme="minorEastAsia" w:eastAsiaTheme="minorEastAsia" w:cstheme="minorEastAsia"/>
          <w:b/>
          <w:bCs/>
          <w:color w:val="000000"/>
          <w:kern w:val="0"/>
          <w:szCs w:val="21"/>
          <w:lang w:bidi="ar"/>
        </w:rPr>
        <w:t xml:space="preserve">1、组织病理学检查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组织病理学检查是通过局部切除、钳取、穿刺等手术方法，从患者机体采取病变组织块，经过包埋、切片后，进行病理检查的方法。</w:t>
      </w:r>
      <w:r>
        <w:rPr>
          <w:rFonts w:asciiTheme="minorEastAsia" w:hAnsiTheme="minorEastAsia" w:eastAsiaTheme="minorEastAsia" w:cstheme="minorEastAsia"/>
          <w:color w:val="000000"/>
          <w:kern w:val="0"/>
          <w:szCs w:val="21"/>
          <w:lang w:bidi="ar"/>
        </w:rPr>
        <w:t xml:space="preserve"> </w:t>
      </w:r>
    </w:p>
    <w:p>
      <w:pPr>
        <w:pStyle w:val="16"/>
        <w:spacing w:line="360" w:lineRule="auto"/>
        <w:ind w:left="0" w:leftChars="0" w:firstLine="422"/>
        <w:rPr>
          <w:rFonts w:asciiTheme="minorEastAsia" w:hAnsiTheme="minorEastAsia" w:eastAsiaTheme="minorEastAsia" w:cstheme="minorEastAsia"/>
          <w:b/>
          <w:color w:val="000000"/>
          <w:kern w:val="0"/>
          <w:szCs w:val="21"/>
          <w:lang w:bidi="ar"/>
        </w:rPr>
      </w:pPr>
      <w:r>
        <w:rPr>
          <w:rFonts w:hint="eastAsia" w:asciiTheme="minorEastAsia" w:hAnsiTheme="minorEastAsia" w:eastAsiaTheme="minorEastAsia" w:cstheme="minorEastAsia"/>
          <w:b/>
          <w:color w:val="000000"/>
          <w:kern w:val="0"/>
          <w:szCs w:val="21"/>
          <w:lang w:bidi="ar"/>
        </w:rPr>
        <w:t>通过采集病变部位脱落细胞、细针吸取病变部位细胞、体腔积液分离病变细胞等方式获取病变细胞，制成涂片，进行病理检查的方法，属于细胞病理学检查，不属于组织病理学检查。</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color w:val="000000"/>
          <w:kern w:val="0"/>
          <w:szCs w:val="21"/>
          <w:lang w:bidi="ar"/>
        </w:rPr>
        <w:t>3</w:t>
      </w:r>
      <w:r>
        <w:rPr>
          <w:rFonts w:asciiTheme="minorEastAsia" w:hAnsiTheme="minorEastAsia" w:eastAsiaTheme="minorEastAsia" w:cstheme="minorEastAsia"/>
          <w:b/>
          <w:bCs/>
          <w:color w:val="000000"/>
          <w:kern w:val="0"/>
          <w:szCs w:val="21"/>
          <w:lang w:bidi="ar"/>
        </w:rPr>
        <w:t xml:space="preserve">2、ICD-10 与 ICD-O-3 </w:t>
      </w:r>
    </w:p>
    <w:p>
      <w:pPr>
        <w:pStyle w:val="16"/>
        <w:spacing w:line="360" w:lineRule="auto"/>
        <w:ind w:left="0" w:leftChars="0"/>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《疾病和有关健康问题的国际统计分类》第十次修订版（</w:t>
      </w:r>
      <w:r>
        <w:rPr>
          <w:rFonts w:asciiTheme="minorEastAsia" w:hAnsiTheme="minorEastAsia" w:eastAsiaTheme="minorEastAsia" w:cstheme="minorEastAsia"/>
          <w:color w:val="000000"/>
          <w:kern w:val="0"/>
          <w:szCs w:val="21"/>
          <w:lang w:bidi="ar"/>
        </w:rPr>
        <w:t xml:space="preserve">ICD-10），是世界卫生组织（WHO）发布的国际通用的疾病分类方法。《国际疾病分类肿瘤学专辑》第三版（ICD-O-3），是 WHO </w:t>
      </w:r>
      <w:r>
        <w:rPr>
          <w:rFonts w:hint="eastAsia" w:asciiTheme="minorEastAsia" w:hAnsiTheme="minorEastAsia" w:eastAsiaTheme="minorEastAsia" w:cstheme="minorEastAsia"/>
          <w:color w:val="000000"/>
          <w:kern w:val="0"/>
          <w:szCs w:val="21"/>
          <w:lang w:bidi="ar"/>
        </w:rPr>
        <w:t>发布的针对</w:t>
      </w:r>
      <w:r>
        <w:rPr>
          <w:rFonts w:asciiTheme="minorEastAsia" w:hAnsiTheme="minorEastAsia" w:eastAsiaTheme="minorEastAsia" w:cstheme="minorEastAsia"/>
          <w:color w:val="000000"/>
          <w:kern w:val="0"/>
          <w:szCs w:val="21"/>
          <w:lang w:bidi="ar"/>
        </w:rPr>
        <w:t xml:space="preserve"> ICD </w:t>
      </w:r>
      <w:r>
        <w:rPr>
          <w:rFonts w:hint="eastAsia" w:asciiTheme="minorEastAsia" w:hAnsiTheme="minorEastAsia" w:eastAsiaTheme="minorEastAsia" w:cstheme="minorEastAsia"/>
          <w:color w:val="000000"/>
          <w:kern w:val="0"/>
          <w:szCs w:val="21"/>
          <w:lang w:bidi="ar"/>
        </w:rPr>
        <w:t>中肿瘤形态学组织学细胞类型、动态、分化程度的补充编码。其中形态学编码：</w:t>
      </w:r>
      <w:r>
        <w:rPr>
          <w:rFonts w:asciiTheme="minorEastAsia" w:hAnsiTheme="minorEastAsia" w:eastAsiaTheme="minorEastAsia" w:cstheme="minorEastAsia"/>
          <w:color w:val="000000"/>
          <w:kern w:val="0"/>
          <w:szCs w:val="21"/>
          <w:lang w:bidi="ar"/>
        </w:rPr>
        <w:t xml:space="preserve">0 </w:t>
      </w:r>
      <w:r>
        <w:rPr>
          <w:rFonts w:hint="eastAsia" w:asciiTheme="minorEastAsia" w:hAnsiTheme="minorEastAsia" w:eastAsiaTheme="minorEastAsia" w:cstheme="minorEastAsia"/>
          <w:color w:val="000000"/>
          <w:kern w:val="0"/>
          <w:szCs w:val="21"/>
          <w:lang w:bidi="ar"/>
        </w:rPr>
        <w:t>代表良性肿瘤；</w:t>
      </w:r>
      <w:r>
        <w:rPr>
          <w:rFonts w:asciiTheme="minorEastAsia" w:hAnsiTheme="minorEastAsia" w:eastAsiaTheme="minorEastAsia" w:cstheme="minorEastAsia"/>
          <w:color w:val="000000"/>
          <w:kern w:val="0"/>
          <w:szCs w:val="21"/>
          <w:lang w:bidi="ar"/>
        </w:rPr>
        <w:t xml:space="preserve">1 </w:t>
      </w:r>
      <w:r>
        <w:rPr>
          <w:rFonts w:hint="eastAsia" w:asciiTheme="minorEastAsia" w:hAnsiTheme="minorEastAsia" w:eastAsiaTheme="minorEastAsia" w:cstheme="minorEastAsia"/>
          <w:color w:val="000000"/>
          <w:kern w:val="0"/>
          <w:szCs w:val="21"/>
          <w:lang w:bidi="ar"/>
        </w:rPr>
        <w:t>代表动态未定性肿瘤；</w:t>
      </w:r>
      <w:r>
        <w:rPr>
          <w:rFonts w:asciiTheme="minorEastAsia" w:hAnsiTheme="minorEastAsia" w:eastAsiaTheme="minorEastAsia" w:cstheme="minorEastAsia"/>
          <w:color w:val="000000"/>
          <w:kern w:val="0"/>
          <w:szCs w:val="21"/>
          <w:lang w:bidi="ar"/>
        </w:rPr>
        <w:t xml:space="preserve">2 </w:t>
      </w:r>
      <w:r>
        <w:rPr>
          <w:rFonts w:hint="eastAsia" w:asciiTheme="minorEastAsia" w:hAnsiTheme="minorEastAsia" w:eastAsiaTheme="minorEastAsia" w:cstheme="minorEastAsia"/>
          <w:color w:val="000000"/>
          <w:kern w:val="0"/>
          <w:szCs w:val="21"/>
          <w:lang w:bidi="ar"/>
        </w:rPr>
        <w:t>代表原位癌和非侵袭性癌；</w:t>
      </w:r>
      <w:r>
        <w:rPr>
          <w:rFonts w:asciiTheme="minorEastAsia" w:hAnsiTheme="minorEastAsia" w:eastAsiaTheme="minorEastAsia" w:cstheme="minorEastAsia"/>
          <w:color w:val="000000"/>
          <w:kern w:val="0"/>
          <w:szCs w:val="21"/>
          <w:lang w:bidi="ar"/>
        </w:rPr>
        <w:t xml:space="preserve">3 </w:t>
      </w:r>
      <w:r>
        <w:rPr>
          <w:rFonts w:hint="eastAsia" w:asciiTheme="minorEastAsia" w:hAnsiTheme="minorEastAsia" w:eastAsiaTheme="minorEastAsia" w:cstheme="minorEastAsia"/>
          <w:color w:val="000000"/>
          <w:kern w:val="0"/>
          <w:szCs w:val="21"/>
          <w:lang w:bidi="ar"/>
        </w:rPr>
        <w:t>代表恶性肿瘤（原发性）；</w:t>
      </w:r>
      <w:r>
        <w:rPr>
          <w:rFonts w:asciiTheme="minorEastAsia" w:hAnsiTheme="minorEastAsia" w:eastAsiaTheme="minorEastAsia" w:cstheme="minorEastAsia"/>
          <w:color w:val="000000"/>
          <w:kern w:val="0"/>
          <w:szCs w:val="21"/>
          <w:lang w:bidi="ar"/>
        </w:rPr>
        <w:t xml:space="preserve">6 </w:t>
      </w:r>
      <w:r>
        <w:rPr>
          <w:rFonts w:hint="eastAsia" w:asciiTheme="minorEastAsia" w:hAnsiTheme="minorEastAsia" w:eastAsiaTheme="minorEastAsia" w:cstheme="minorEastAsia"/>
          <w:color w:val="000000"/>
          <w:kern w:val="0"/>
          <w:szCs w:val="21"/>
          <w:lang w:bidi="ar"/>
        </w:rPr>
        <w:t>代表恶性肿瘤（转移性）；</w:t>
      </w:r>
      <w:r>
        <w:rPr>
          <w:rFonts w:asciiTheme="minorEastAsia" w:hAnsiTheme="minorEastAsia" w:eastAsiaTheme="minorEastAsia" w:cstheme="minorEastAsia"/>
          <w:color w:val="000000"/>
          <w:kern w:val="0"/>
          <w:szCs w:val="21"/>
          <w:lang w:bidi="ar"/>
        </w:rPr>
        <w:t xml:space="preserve">9 </w:t>
      </w:r>
      <w:r>
        <w:rPr>
          <w:rFonts w:hint="eastAsia" w:asciiTheme="minorEastAsia" w:hAnsiTheme="minorEastAsia" w:eastAsiaTheme="minorEastAsia" w:cstheme="minorEastAsia"/>
          <w:color w:val="000000"/>
          <w:kern w:val="0"/>
          <w:szCs w:val="21"/>
          <w:lang w:bidi="ar"/>
        </w:rPr>
        <w:t>代表恶性肿瘤（原发性或转移性未肯定）。如果出现</w:t>
      </w:r>
      <w:r>
        <w:rPr>
          <w:rFonts w:asciiTheme="minorEastAsia" w:hAnsiTheme="minorEastAsia" w:eastAsiaTheme="minorEastAsia" w:cstheme="minorEastAsia"/>
          <w:color w:val="000000"/>
          <w:kern w:val="0"/>
          <w:szCs w:val="21"/>
          <w:lang w:bidi="ar"/>
        </w:rPr>
        <w:t xml:space="preserve"> ICD-10 </w:t>
      </w:r>
      <w:r>
        <w:rPr>
          <w:rFonts w:hint="eastAsia" w:asciiTheme="minorEastAsia" w:hAnsiTheme="minorEastAsia" w:eastAsiaTheme="minorEastAsia" w:cstheme="minorEastAsia"/>
          <w:color w:val="000000"/>
          <w:kern w:val="0"/>
          <w:szCs w:val="21"/>
          <w:lang w:bidi="ar"/>
        </w:rPr>
        <w:t>与</w:t>
      </w:r>
      <w:r>
        <w:rPr>
          <w:rFonts w:asciiTheme="minorEastAsia" w:hAnsiTheme="minorEastAsia" w:eastAsiaTheme="minorEastAsia" w:cstheme="minorEastAsia"/>
          <w:color w:val="000000"/>
          <w:kern w:val="0"/>
          <w:szCs w:val="21"/>
          <w:lang w:bidi="ar"/>
        </w:rPr>
        <w:t xml:space="preserve"> ICD-O-3 </w:t>
      </w:r>
      <w:r>
        <w:rPr>
          <w:rFonts w:hint="eastAsia" w:asciiTheme="minorEastAsia" w:hAnsiTheme="minorEastAsia" w:eastAsiaTheme="minorEastAsia" w:cstheme="minorEastAsia"/>
          <w:color w:val="000000"/>
          <w:kern w:val="0"/>
          <w:szCs w:val="21"/>
          <w:lang w:bidi="ar"/>
        </w:rPr>
        <w:t>不一致的情况，以</w:t>
      </w:r>
      <w:r>
        <w:rPr>
          <w:rFonts w:asciiTheme="minorEastAsia" w:hAnsiTheme="minorEastAsia" w:eastAsiaTheme="minorEastAsia" w:cstheme="minorEastAsia"/>
          <w:color w:val="000000"/>
          <w:kern w:val="0"/>
          <w:szCs w:val="21"/>
          <w:lang w:bidi="ar"/>
        </w:rPr>
        <w:t xml:space="preserve"> ICD-O-3 </w:t>
      </w:r>
      <w:r>
        <w:rPr>
          <w:rFonts w:hint="eastAsia" w:asciiTheme="minorEastAsia" w:hAnsiTheme="minorEastAsia" w:eastAsiaTheme="minorEastAsia" w:cstheme="minorEastAsia"/>
          <w:color w:val="000000"/>
          <w:kern w:val="0"/>
          <w:szCs w:val="21"/>
          <w:lang w:bidi="ar"/>
        </w:rPr>
        <w:t>为准。</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color w:val="000000"/>
          <w:kern w:val="0"/>
          <w:szCs w:val="21"/>
          <w:lang w:bidi="ar"/>
        </w:rPr>
        <w:t>3</w:t>
      </w:r>
      <w:r>
        <w:rPr>
          <w:rFonts w:asciiTheme="minorEastAsia" w:hAnsiTheme="minorEastAsia" w:eastAsiaTheme="minorEastAsia" w:cstheme="minorEastAsia"/>
          <w:b/>
          <w:bCs/>
          <w:color w:val="000000"/>
          <w:kern w:val="0"/>
          <w:szCs w:val="21"/>
          <w:lang w:bidi="ar"/>
        </w:rPr>
        <w:t xml:space="preserve">3、TNM 分期 </w:t>
      </w:r>
    </w:p>
    <w:p>
      <w:pPr>
        <w:pStyle w:val="16"/>
        <w:spacing w:line="360" w:lineRule="auto"/>
        <w:ind w:left="0" w:leftChars="0"/>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 xml:space="preserve">TNM </w:t>
      </w:r>
      <w:r>
        <w:rPr>
          <w:rFonts w:hint="eastAsia" w:asciiTheme="minorEastAsia" w:hAnsiTheme="minorEastAsia" w:eastAsiaTheme="minorEastAsia" w:cstheme="minorEastAsia"/>
          <w:color w:val="000000"/>
          <w:kern w:val="0"/>
          <w:szCs w:val="21"/>
          <w:lang w:bidi="ar"/>
        </w:rPr>
        <w:t>分期采用</w:t>
      </w:r>
      <w:r>
        <w:rPr>
          <w:rFonts w:asciiTheme="minorEastAsia" w:hAnsiTheme="minorEastAsia" w:eastAsiaTheme="minorEastAsia" w:cstheme="minorEastAsia"/>
          <w:color w:val="000000"/>
          <w:kern w:val="0"/>
          <w:szCs w:val="21"/>
          <w:lang w:bidi="ar"/>
        </w:rPr>
        <w:t xml:space="preserve"> AJCC </w:t>
      </w:r>
      <w:r>
        <w:rPr>
          <w:rFonts w:hint="eastAsia" w:asciiTheme="minorEastAsia" w:hAnsiTheme="minorEastAsia" w:eastAsiaTheme="minorEastAsia" w:cstheme="minorEastAsia"/>
          <w:color w:val="000000"/>
          <w:kern w:val="0"/>
          <w:szCs w:val="21"/>
          <w:lang w:bidi="ar"/>
        </w:rPr>
        <w:t>癌症分期手册标准。该标准由美国癌症联合委员会与国际抗癌联合会</w:t>
      </w:r>
      <w:r>
        <w:rPr>
          <w:rFonts w:asciiTheme="minorEastAsia" w:hAnsiTheme="minorEastAsia" w:eastAsiaTheme="minorEastAsia" w:cstheme="minorEastAsia"/>
          <w:color w:val="000000"/>
          <w:kern w:val="0"/>
          <w:szCs w:val="21"/>
          <w:lang w:bidi="ar"/>
        </w:rPr>
        <w:t xml:space="preserve"> TNM </w:t>
      </w:r>
      <w:r>
        <w:rPr>
          <w:rFonts w:hint="eastAsia" w:asciiTheme="minorEastAsia" w:hAnsiTheme="minorEastAsia" w:eastAsiaTheme="minorEastAsia" w:cstheme="minorEastAsia"/>
          <w:color w:val="000000"/>
          <w:kern w:val="0"/>
          <w:szCs w:val="21"/>
          <w:lang w:bidi="ar"/>
        </w:rPr>
        <w:t>委员会联合制定，是目前肿瘤医学分期的国际通用标准。</w:t>
      </w:r>
      <w:r>
        <w:rPr>
          <w:rFonts w:asciiTheme="minorEastAsia" w:hAnsiTheme="minorEastAsia" w:eastAsiaTheme="minorEastAsia" w:cstheme="minorEastAsia"/>
          <w:color w:val="000000"/>
          <w:kern w:val="0"/>
          <w:szCs w:val="21"/>
          <w:lang w:bidi="ar"/>
        </w:rPr>
        <w:t xml:space="preserve">T </w:t>
      </w:r>
      <w:r>
        <w:rPr>
          <w:rFonts w:hint="eastAsia" w:asciiTheme="minorEastAsia" w:hAnsiTheme="minorEastAsia" w:eastAsiaTheme="minorEastAsia" w:cstheme="minorEastAsia"/>
          <w:color w:val="000000"/>
          <w:kern w:val="0"/>
          <w:szCs w:val="21"/>
          <w:lang w:bidi="ar"/>
        </w:rPr>
        <w:t>指原发肿瘤的大小、形态等；</w:t>
      </w:r>
      <w:r>
        <w:rPr>
          <w:rFonts w:asciiTheme="minorEastAsia" w:hAnsiTheme="minorEastAsia" w:eastAsiaTheme="minorEastAsia" w:cstheme="minorEastAsia"/>
          <w:color w:val="000000"/>
          <w:kern w:val="0"/>
          <w:szCs w:val="21"/>
          <w:lang w:bidi="ar"/>
        </w:rPr>
        <w:t xml:space="preserve">N </w:t>
      </w:r>
      <w:r>
        <w:rPr>
          <w:rFonts w:hint="eastAsia" w:asciiTheme="minorEastAsia" w:hAnsiTheme="minorEastAsia" w:eastAsiaTheme="minorEastAsia" w:cstheme="minorEastAsia"/>
          <w:color w:val="000000"/>
          <w:kern w:val="0"/>
          <w:szCs w:val="21"/>
          <w:lang w:bidi="ar"/>
        </w:rPr>
        <w:t>指淋巴结的转移情况；</w:t>
      </w:r>
      <w:r>
        <w:rPr>
          <w:rFonts w:asciiTheme="minorEastAsia" w:hAnsiTheme="minorEastAsia" w:eastAsiaTheme="minorEastAsia" w:cstheme="minorEastAsia"/>
          <w:color w:val="000000"/>
          <w:kern w:val="0"/>
          <w:szCs w:val="21"/>
          <w:lang w:bidi="ar"/>
        </w:rPr>
        <w:t xml:space="preserve">M </w:t>
      </w:r>
      <w:r>
        <w:rPr>
          <w:rFonts w:hint="eastAsia" w:asciiTheme="minorEastAsia" w:hAnsiTheme="minorEastAsia" w:eastAsiaTheme="minorEastAsia" w:cstheme="minorEastAsia"/>
          <w:color w:val="000000"/>
          <w:kern w:val="0"/>
          <w:szCs w:val="21"/>
          <w:lang w:bidi="ar"/>
        </w:rPr>
        <w:t>指有无其他脏器的转移情况。</w:t>
      </w:r>
    </w:p>
    <w:p>
      <w:pPr>
        <w:widowControl/>
        <w:spacing w:line="360" w:lineRule="auto"/>
        <w:ind w:firstLine="422"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
          <w:bCs/>
          <w:color w:val="000000"/>
          <w:kern w:val="0"/>
          <w:szCs w:val="21"/>
          <w:lang w:bidi="ar"/>
        </w:rPr>
        <w:t>3</w:t>
      </w:r>
      <w:r>
        <w:rPr>
          <w:rFonts w:asciiTheme="minorEastAsia" w:hAnsiTheme="minorEastAsia" w:eastAsiaTheme="minorEastAsia" w:cstheme="minorEastAsia"/>
          <w:b/>
          <w:bCs/>
          <w:color w:val="000000"/>
          <w:kern w:val="0"/>
          <w:szCs w:val="21"/>
          <w:lang w:bidi="ar"/>
        </w:rPr>
        <w:t xml:space="preserve">4、甲状腺癌的 TNM </w:t>
      </w:r>
      <w:r>
        <w:rPr>
          <w:rFonts w:hint="eastAsia" w:asciiTheme="minorEastAsia" w:hAnsiTheme="minorEastAsia" w:eastAsiaTheme="minorEastAsia" w:cstheme="minorEastAsia"/>
          <w:b/>
          <w:bCs/>
          <w:color w:val="000000"/>
          <w:kern w:val="0"/>
          <w:szCs w:val="21"/>
          <w:lang w:bidi="ar"/>
        </w:rPr>
        <w:t>分期</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甲状腺癌的</w:t>
      </w:r>
      <w:r>
        <w:rPr>
          <w:rFonts w:asciiTheme="minorEastAsia" w:hAnsiTheme="minorEastAsia" w:eastAsiaTheme="minorEastAsia" w:cstheme="minorEastAsia"/>
          <w:color w:val="000000"/>
          <w:kern w:val="0"/>
          <w:szCs w:val="21"/>
          <w:lang w:bidi="ar"/>
        </w:rPr>
        <w:t xml:space="preserve">TNM分期采用目前现行的AJCC第八版定义标准，我国国家卫生健康委员会2018年发布的《甲状腺癌诊疗规范（2018年版）》也采用此定义标准，具体见下： </w:t>
      </w:r>
    </w:p>
    <w:p>
      <w:pPr>
        <w:widowControl/>
        <w:spacing w:line="24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甲状腺乳头状癌、滤泡癌、低分化癌、</w:t>
      </w:r>
      <w:r>
        <w:rPr>
          <w:rFonts w:asciiTheme="minorEastAsia" w:hAnsiTheme="minorEastAsia" w:eastAsiaTheme="minorEastAsia" w:cstheme="minorEastAsia"/>
          <w:color w:val="000000"/>
          <w:kern w:val="0"/>
          <w:szCs w:val="21"/>
          <w:lang w:bidi="ar"/>
        </w:rPr>
        <w:t xml:space="preserve">Hürthle 细胞癌和未分化癌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pTX</w:t>
      </w:r>
      <w:r>
        <w:rPr>
          <w:rFonts w:hint="eastAsia" w:asciiTheme="minorEastAsia" w:hAnsiTheme="minorEastAsia" w:eastAsiaTheme="minorEastAsia" w:cstheme="minorEastAsia"/>
          <w:color w:val="000000"/>
          <w:kern w:val="0"/>
          <w:szCs w:val="21"/>
          <w:lang w:bidi="ar"/>
        </w:rPr>
        <w:t>：原发肿瘤不能评估</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pT0：无肿瘤证据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pT1：肿瘤局限在甲状腺内，最大径≤2cm </w:t>
      </w:r>
    </w:p>
    <w:p>
      <w:pPr>
        <w:widowControl/>
        <w:spacing w:line="240" w:lineRule="auto"/>
        <w:ind w:firstLine="840" w:firstLineChars="4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T1a肿瘤最大径≤1cm </w:t>
      </w:r>
    </w:p>
    <w:p>
      <w:pPr>
        <w:widowControl/>
        <w:spacing w:line="240" w:lineRule="auto"/>
        <w:ind w:firstLine="840" w:firstLineChars="4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T1b肿瘤最大径＞1cm，≤2cm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pT2：肿瘤 2～4cm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pT3：肿瘤&gt;4cm，局限于甲状腺内或大体侵犯甲状腺外带状</w:t>
      </w:r>
      <w:r>
        <w:rPr>
          <w:rFonts w:hint="eastAsia" w:asciiTheme="minorEastAsia" w:hAnsiTheme="minorEastAsia" w:eastAsiaTheme="minorEastAsia" w:cstheme="minorEastAsia"/>
          <w:color w:val="000000"/>
          <w:kern w:val="0"/>
          <w:szCs w:val="21"/>
          <w:lang w:bidi="ar"/>
        </w:rPr>
        <w:t>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pT3a：肿瘤&gt;4cm，局限于甲状腺内 </w:t>
      </w:r>
    </w:p>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pT3b：大体侵犯甲状腺外带状肌，无论肿瘤大小</w:t>
      </w:r>
    </w:p>
    <w:p>
      <w:pPr>
        <w:widowControl/>
        <w:spacing w:line="240" w:lineRule="auto"/>
        <w:ind w:firstLine="1050" w:firstLineChars="5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带状肌包括：胸骨舌骨肌、胸骨甲状肌、甲状舌骨肌、肩胛舌骨肌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pT4：大体侵犯甲状腺外带状肌外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pT4a：侵犯喉、气管、食管、</w:t>
      </w:r>
      <w:r>
        <w:rPr>
          <w:rFonts w:hint="eastAsia" w:asciiTheme="minorEastAsia" w:hAnsiTheme="minorEastAsia" w:eastAsiaTheme="minorEastAsia" w:cstheme="minorEastAsia"/>
          <w:color w:val="000000"/>
          <w:kern w:val="0"/>
          <w:szCs w:val="21"/>
          <w:lang w:bidi="ar"/>
        </w:rPr>
        <w:t>喉反神经及皮下软组织</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pT4b：侵犯椎前筋膜，或包裹颈动脉、</w:t>
      </w:r>
      <w:r>
        <w:rPr>
          <w:rFonts w:hint="eastAsia" w:asciiTheme="minorEastAsia" w:hAnsiTheme="minorEastAsia" w:eastAsiaTheme="minorEastAsia" w:cstheme="minorEastAsia"/>
          <w:color w:val="000000"/>
          <w:kern w:val="0"/>
          <w:szCs w:val="21"/>
          <w:lang w:bidi="ar"/>
        </w:rPr>
        <w:t>纵隔血管</w:t>
      </w:r>
    </w:p>
    <w:p>
      <w:pPr>
        <w:widowControl/>
        <w:spacing w:line="24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甲状腺髓样癌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pTX</w:t>
      </w:r>
      <w:r>
        <w:rPr>
          <w:rFonts w:hint="eastAsia" w:asciiTheme="minorEastAsia" w:hAnsiTheme="minorEastAsia" w:eastAsiaTheme="minorEastAsia" w:cstheme="minorEastAsia"/>
          <w:color w:val="000000"/>
          <w:kern w:val="0"/>
          <w:szCs w:val="21"/>
          <w:lang w:bidi="ar"/>
        </w:rPr>
        <w:t>：原发肿瘤不能评估</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pT0：无肿瘤证据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pT1：肿瘤局限在甲状腺内，最大径≤2cm </w:t>
      </w:r>
    </w:p>
    <w:p>
      <w:pPr>
        <w:widowControl/>
        <w:spacing w:line="240" w:lineRule="auto"/>
        <w:ind w:firstLine="840" w:firstLineChars="4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T1a肿瘤最大径≤1cm </w:t>
      </w:r>
    </w:p>
    <w:p>
      <w:pPr>
        <w:widowControl/>
        <w:spacing w:line="240" w:lineRule="auto"/>
        <w:ind w:firstLine="840" w:firstLineChars="4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T1b肿瘤最大径＞1cm，≤2cm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pT2：肿瘤 2～4cm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pT3：肿瘤&gt;4cm，局限于甲状腺内或大体侵犯甲状腺外带状</w:t>
      </w:r>
      <w:r>
        <w:rPr>
          <w:rFonts w:hint="eastAsia" w:asciiTheme="minorEastAsia" w:hAnsiTheme="minorEastAsia" w:eastAsiaTheme="minorEastAsia" w:cstheme="minorEastAsia"/>
          <w:color w:val="000000"/>
          <w:kern w:val="0"/>
          <w:szCs w:val="21"/>
          <w:lang w:bidi="ar"/>
        </w:rPr>
        <w:t>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pT3a：肿瘤&gt;4cm，局限于甲状腺内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pT3b：大体侵犯甲状腺外带状肌，无论肿瘤大小 </w:t>
      </w:r>
    </w:p>
    <w:p>
      <w:pPr>
        <w:widowControl/>
        <w:spacing w:line="240" w:lineRule="auto"/>
        <w:ind w:firstLine="1050" w:firstLineChars="5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带状肌包括：胸骨舌骨肌、胸骨甲状肌、甲状舌骨肌、肩胛舌骨肌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pT4：进展期病变 </w:t>
      </w:r>
    </w:p>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pT4a：中度进展，任何大小的肿瘤，侵犯甲状腺外颈部周围器官和软组织，如喉、气管、食管、喉</w:t>
      </w:r>
      <w:r>
        <w:rPr>
          <w:rFonts w:hint="eastAsia" w:asciiTheme="minorEastAsia" w:hAnsiTheme="minorEastAsia" w:eastAsiaTheme="minorEastAsia" w:cstheme="minorEastAsia"/>
          <w:color w:val="000000"/>
          <w:kern w:val="0"/>
          <w:szCs w:val="21"/>
          <w:lang w:bidi="ar"/>
        </w:rPr>
        <w:t>反神经及皮下软组织</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pT4b：重度进展，任何大小的肿瘤，侵犯椎前筋膜，或包裹颈动脉、</w:t>
      </w:r>
      <w:r>
        <w:rPr>
          <w:rFonts w:hint="eastAsia" w:asciiTheme="minorEastAsia" w:hAnsiTheme="minorEastAsia" w:eastAsiaTheme="minorEastAsia" w:cstheme="minorEastAsia"/>
          <w:color w:val="000000"/>
          <w:kern w:val="0"/>
          <w:szCs w:val="21"/>
          <w:lang w:bidi="ar"/>
        </w:rPr>
        <w:t>纵隔血管</w:t>
      </w:r>
    </w:p>
    <w:p>
      <w:pPr>
        <w:widowControl/>
        <w:spacing w:line="24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区域淋巴结：适用于所有甲状腺癌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pNx</w:t>
      </w:r>
      <w:r>
        <w:rPr>
          <w:rFonts w:hint="eastAsia" w:asciiTheme="minorEastAsia" w:hAnsiTheme="minorEastAsia" w:eastAsiaTheme="minorEastAsia" w:cstheme="minorEastAsia"/>
          <w:color w:val="000000"/>
          <w:kern w:val="0"/>
          <w:szCs w:val="21"/>
          <w:lang w:bidi="ar"/>
        </w:rPr>
        <w:t>：区域淋巴结无法评估</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pN0：无淋巴结转移证据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pN1：区域淋巴结转移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pN1a：转移至Ⅵ、Ⅶ区（包括气管旁、气管前、</w:t>
      </w:r>
      <w:r>
        <w:rPr>
          <w:rFonts w:hint="eastAsia" w:asciiTheme="minorEastAsia" w:hAnsiTheme="minorEastAsia" w:eastAsiaTheme="minorEastAsia" w:cstheme="minorEastAsia"/>
          <w:color w:val="000000"/>
          <w:kern w:val="0"/>
          <w:szCs w:val="21"/>
          <w:lang w:bidi="ar"/>
        </w:rPr>
        <w:t>喉前</w:t>
      </w:r>
      <w:r>
        <w:rPr>
          <w:rFonts w:asciiTheme="minorEastAsia" w:hAnsiTheme="minorEastAsia" w:eastAsiaTheme="minorEastAsia" w:cstheme="minorEastAsia"/>
          <w:color w:val="000000"/>
          <w:kern w:val="0"/>
          <w:szCs w:val="21"/>
          <w:lang w:bidi="ar"/>
        </w:rPr>
        <w:t xml:space="preserve">/Delphian 或上纵隔）淋巴结，可以为单侧或双侧。 </w:t>
      </w:r>
    </w:p>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pN1b：单侧、双侧或对侧</w:t>
      </w:r>
      <w:r>
        <w:rPr>
          <w:rFonts w:hint="eastAsia" w:asciiTheme="minorEastAsia" w:hAnsiTheme="minorEastAsia" w:eastAsiaTheme="minorEastAsia" w:cstheme="minorEastAsia"/>
          <w:color w:val="000000"/>
          <w:kern w:val="0"/>
          <w:szCs w:val="21"/>
          <w:lang w:bidi="ar"/>
        </w:rPr>
        <w:t>颈淋巴结转移（包括Ⅰ、Ⅱ、Ⅲ、Ⅳ或Ⅴ区）淋巴结或咽后淋巴结转移。</w:t>
      </w:r>
      <w:r>
        <w:rPr>
          <w:rFonts w:asciiTheme="minorEastAsia" w:hAnsiTheme="minorEastAsia" w:eastAsiaTheme="minorEastAsia" w:cstheme="minorEastAsia"/>
          <w:color w:val="000000"/>
          <w:kern w:val="0"/>
          <w:szCs w:val="21"/>
          <w:lang w:bidi="ar"/>
        </w:rPr>
        <w:t xml:space="preserve"> </w:t>
      </w:r>
    </w:p>
    <w:p>
      <w:pPr>
        <w:widowControl/>
        <w:spacing w:line="240" w:lineRule="auto"/>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远处转移：适用于所有甲状腺癌</w:t>
      </w:r>
      <w:r>
        <w:rPr>
          <w:rFonts w:asciiTheme="minorEastAsia" w:hAnsiTheme="minorEastAsia" w:eastAsiaTheme="minorEastAsia" w:cstheme="minorEastAsia"/>
          <w:color w:val="000000"/>
          <w:kern w:val="0"/>
          <w:szCs w:val="21"/>
          <w:lang w:bidi="ar"/>
        </w:rPr>
        <w:t xml:space="preserve"> </w:t>
      </w:r>
    </w:p>
    <w:p>
      <w:pPr>
        <w:widowControl/>
        <w:spacing w:line="240" w:lineRule="auto"/>
        <w:ind w:firstLine="420" w:firstLineChars="200"/>
        <w:jc w:val="left"/>
        <w:rPr>
          <w:rFonts w:asciiTheme="minorEastAsia" w:hAnsiTheme="minorEastAsia" w:eastAsiaTheme="minorEastAsia" w:cstheme="minorEastAsia"/>
          <w:szCs w:val="21"/>
        </w:rPr>
      </w:pPr>
      <w:r>
        <w:rPr>
          <w:rFonts w:asciiTheme="minorEastAsia" w:hAnsiTheme="minorEastAsia" w:eastAsiaTheme="minorEastAsia" w:cstheme="minorEastAsia"/>
          <w:color w:val="000000"/>
          <w:kern w:val="0"/>
          <w:szCs w:val="21"/>
          <w:lang w:bidi="ar"/>
        </w:rPr>
        <w:t xml:space="preserve">M0：无远处转移 </w:t>
      </w:r>
    </w:p>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color w:val="000000"/>
          <w:kern w:val="0"/>
          <w:szCs w:val="21"/>
          <w:lang w:bidi="ar"/>
        </w:rPr>
        <w:t xml:space="preserve">M1：有远处转移 </w:t>
      </w:r>
    </w:p>
    <w:tbl>
      <w:tblPr>
        <w:tblStyle w:val="10"/>
        <w:tblpPr w:leftFromText="180" w:rightFromText="180" w:vertAnchor="text" w:horzAnchor="page" w:tblpX="2315" w:tblpY="234"/>
        <w:tblOverlap w:val="never"/>
        <w:tblW w:w="679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116"/>
        <w:gridCol w:w="48"/>
        <w:gridCol w:w="1532"/>
        <w:gridCol w:w="1559"/>
        <w:gridCol w:w="15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6794" w:type="dxa"/>
            <w:gridSpan w:val="5"/>
            <w:tcBorders>
              <w:bottom w:val="single" w:color="000000" w:sz="4" w:space="0"/>
            </w:tcBorders>
          </w:tcPr>
          <w:p>
            <w:pPr>
              <w:pStyle w:val="33"/>
              <w:spacing w:before="0" w:after="0" w:line="360" w:lineRule="auto"/>
              <w:ind w:left="105"/>
              <w:jc w:val="left"/>
              <w:rPr>
                <w:rFonts w:ascii="宋体" w:hAnsi="宋体" w:eastAsia="宋体" w:cstheme="minorEastAsia"/>
                <w:szCs w:val="21"/>
              </w:rPr>
            </w:pPr>
            <w:r>
              <w:rPr>
                <w:rFonts w:hint="eastAsia" w:ascii="宋体" w:hAnsi="宋体" w:eastAsia="宋体" w:cstheme="minorEastAsia"/>
                <w:szCs w:val="21"/>
              </w:rPr>
              <w:t>乳头状或滤泡状癌（分化型）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6794" w:type="dxa"/>
            <w:gridSpan w:val="5"/>
            <w:tcBorders>
              <w:top w:val="single" w:color="000000" w:sz="4" w:space="0"/>
              <w:bottom w:val="single" w:color="000000" w:sz="4" w:space="0"/>
            </w:tcBorders>
          </w:tcPr>
          <w:p>
            <w:pPr>
              <w:pStyle w:val="33"/>
              <w:spacing w:before="0" w:after="0" w:line="360" w:lineRule="auto"/>
              <w:ind w:left="105"/>
              <w:jc w:val="left"/>
              <w:rPr>
                <w:rFonts w:ascii="宋体" w:hAnsi="宋体" w:eastAsia="宋体" w:cstheme="minorEastAsia"/>
                <w:szCs w:val="21"/>
              </w:rPr>
            </w:pPr>
            <w:r>
              <w:rPr>
                <w:rFonts w:hint="eastAsia" w:ascii="宋体" w:hAnsi="宋体" w:eastAsia="宋体" w:cstheme="minorEastAsia"/>
                <w:szCs w:val="21"/>
              </w:rPr>
              <w:t>年龄＜</w:t>
            </w:r>
            <w:r>
              <w:rPr>
                <w:rFonts w:ascii="宋体" w:hAnsi="宋体" w:eastAsia="宋体" w:cstheme="minorEastAsia"/>
                <w:szCs w:val="21"/>
              </w:rPr>
              <w:t xml:space="preserve">55 </w:t>
            </w:r>
            <w:r>
              <w:rPr>
                <w:rFonts w:hint="eastAsia" w:ascii="宋体" w:hAnsi="宋体" w:eastAsia="宋体" w:cstheme="minorEastAsia"/>
                <w:szCs w:val="21"/>
              </w:rPr>
              <w:t>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16" w:type="dxa"/>
            <w:tcBorders>
              <w:top w:val="single" w:color="000000" w:sz="4" w:space="0"/>
              <w:bottom w:val="single" w:color="000000" w:sz="4" w:space="0"/>
              <w:right w:val="single" w:color="000000" w:sz="4" w:space="0"/>
            </w:tcBorders>
          </w:tcPr>
          <w:p>
            <w:pPr>
              <w:pStyle w:val="33"/>
              <w:spacing w:before="0" w:after="0" w:line="360" w:lineRule="auto"/>
              <w:ind w:left="0"/>
              <w:jc w:val="center"/>
              <w:rPr>
                <w:rFonts w:ascii="宋体" w:hAnsi="宋体" w:eastAsia="宋体" w:cstheme="minorEastAsia"/>
                <w:szCs w:val="21"/>
              </w:rPr>
            </w:pPr>
          </w:p>
        </w:tc>
        <w:tc>
          <w:tcPr>
            <w:tcW w:w="1580" w:type="dxa"/>
            <w:gridSpan w:val="2"/>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T</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N</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16" w:type="dxa"/>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Ⅰ期</w:t>
            </w:r>
          </w:p>
        </w:tc>
        <w:tc>
          <w:tcPr>
            <w:tcW w:w="1580" w:type="dxa"/>
            <w:gridSpan w:val="2"/>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hint="eastAsia" w:ascii="宋体" w:hAnsi="宋体" w:eastAsia="宋体" w:cstheme="minorEastAsia"/>
                <w:szCs w:val="21"/>
              </w:rPr>
              <w:t>任何</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16" w:type="dxa"/>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Ⅱ期</w:t>
            </w:r>
          </w:p>
        </w:tc>
        <w:tc>
          <w:tcPr>
            <w:tcW w:w="1580" w:type="dxa"/>
            <w:gridSpan w:val="2"/>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hint="eastAsia" w:ascii="宋体" w:hAnsi="宋体" w:eastAsia="宋体" w:cstheme="minorEastAsia"/>
                <w:szCs w:val="21"/>
              </w:rPr>
              <w:t>任何</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6794" w:type="dxa"/>
            <w:gridSpan w:val="5"/>
            <w:tcBorders>
              <w:top w:val="single" w:color="000000" w:sz="4" w:space="0"/>
              <w:bottom w:val="single" w:color="000000" w:sz="4" w:space="0"/>
            </w:tcBorders>
          </w:tcPr>
          <w:p>
            <w:pPr>
              <w:pStyle w:val="33"/>
              <w:spacing w:before="0" w:after="0" w:line="360" w:lineRule="auto"/>
              <w:ind w:left="105"/>
              <w:jc w:val="left"/>
              <w:rPr>
                <w:rFonts w:ascii="宋体" w:hAnsi="宋体" w:eastAsia="宋体" w:cstheme="minorEastAsia"/>
                <w:szCs w:val="21"/>
              </w:rPr>
            </w:pPr>
            <w:r>
              <w:rPr>
                <w:rFonts w:hint="eastAsia" w:ascii="宋体" w:hAnsi="宋体" w:eastAsia="宋体" w:cstheme="minorEastAsia"/>
                <w:szCs w:val="21"/>
              </w:rPr>
              <w:t>年龄≥</w:t>
            </w:r>
            <w:r>
              <w:rPr>
                <w:rFonts w:ascii="宋体" w:hAnsi="宋体" w:eastAsia="宋体" w:cstheme="minorEastAsia"/>
                <w:szCs w:val="21"/>
              </w:rPr>
              <w:t xml:space="preserve">55 </w:t>
            </w:r>
            <w:r>
              <w:rPr>
                <w:rFonts w:hint="eastAsia" w:ascii="宋体" w:hAnsi="宋体" w:eastAsia="宋体" w:cstheme="minorEastAsia"/>
                <w:szCs w:val="21"/>
              </w:rPr>
              <w:t>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restart"/>
            <w:tcBorders>
              <w:top w:val="single" w:color="000000" w:sz="4" w:space="0"/>
              <w:bottom w:val="single" w:color="000000" w:sz="4" w:space="0"/>
              <w:right w:val="single" w:color="000000" w:sz="4" w:space="0"/>
            </w:tcBorders>
          </w:tcPr>
          <w:p>
            <w:pPr>
              <w:pStyle w:val="33"/>
              <w:spacing w:before="0" w:after="0" w:line="360" w:lineRule="auto"/>
              <w:ind w:left="0"/>
              <w:jc w:val="center"/>
              <w:rPr>
                <w:rFonts w:ascii="宋体" w:hAnsi="宋体" w:eastAsia="宋体" w:cstheme="minorEastAsia"/>
                <w:szCs w:val="21"/>
              </w:rPr>
            </w:pPr>
          </w:p>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Ⅰ期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0/x</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continue"/>
            <w:tcBorders>
              <w:top w:val="nil"/>
              <w:bottom w:val="single" w:color="000000" w:sz="4" w:space="0"/>
              <w:right w:val="single" w:color="000000" w:sz="4" w:space="0"/>
            </w:tcBorders>
          </w:tcPr>
          <w:p>
            <w:pPr>
              <w:spacing w:line="360" w:lineRule="auto"/>
              <w:jc w:val="center"/>
              <w:rPr>
                <w:rFonts w:ascii="宋体" w:hAnsi="宋体" w:cstheme="minorEastAsia"/>
                <w:szCs w:val="21"/>
              </w:rPr>
            </w:pP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2</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0/x</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restart"/>
            <w:tcBorders>
              <w:top w:val="nil"/>
              <w:bottom w:val="single" w:color="000000" w:sz="4" w:space="0"/>
              <w:right w:val="single" w:color="000000" w:sz="4" w:space="0"/>
            </w:tcBorders>
          </w:tcPr>
          <w:p>
            <w:pPr>
              <w:pStyle w:val="33"/>
              <w:spacing w:before="0" w:after="0" w:line="360" w:lineRule="auto"/>
              <w:ind w:left="0"/>
              <w:jc w:val="center"/>
              <w:rPr>
                <w:rFonts w:ascii="宋体" w:hAnsi="宋体" w:eastAsia="宋体" w:cstheme="minorEastAsia"/>
                <w:szCs w:val="21"/>
              </w:rPr>
            </w:pPr>
          </w:p>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Ⅱ期</w:t>
            </w:r>
          </w:p>
        </w:tc>
        <w:tc>
          <w:tcPr>
            <w:tcW w:w="1532" w:type="dxa"/>
            <w:tcBorders>
              <w:top w:val="nil"/>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1～2</w:t>
            </w:r>
          </w:p>
        </w:tc>
        <w:tc>
          <w:tcPr>
            <w:tcW w:w="1559" w:type="dxa"/>
            <w:tcBorders>
              <w:top w:val="nil"/>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1</w:t>
            </w:r>
          </w:p>
        </w:tc>
        <w:tc>
          <w:tcPr>
            <w:tcW w:w="1539" w:type="dxa"/>
            <w:tcBorders>
              <w:top w:val="nil"/>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continue"/>
            <w:tcBorders>
              <w:top w:val="nil"/>
              <w:bottom w:val="single" w:color="000000" w:sz="4" w:space="0"/>
              <w:right w:val="single" w:color="000000" w:sz="4" w:space="0"/>
            </w:tcBorders>
          </w:tcPr>
          <w:p>
            <w:pPr>
              <w:spacing w:line="360" w:lineRule="auto"/>
              <w:jc w:val="center"/>
              <w:rPr>
                <w:rFonts w:ascii="宋体" w:hAnsi="宋体" w:cstheme="minorEastAsia"/>
                <w:szCs w:val="21"/>
              </w:rPr>
            </w:pP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3a～3b</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Ⅲ期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4a</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A </w:t>
            </w:r>
            <w:r>
              <w:rPr>
                <w:rFonts w:hint="eastAsia" w:ascii="宋体" w:hAnsi="宋体" w:eastAsia="宋体" w:cstheme="minorEastAsia"/>
                <w:szCs w:val="21"/>
              </w:rPr>
              <w:t>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4b</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B </w:t>
            </w:r>
            <w:r>
              <w:rPr>
                <w:rFonts w:hint="eastAsia" w:ascii="宋体" w:hAnsi="宋体" w:eastAsia="宋体" w:cstheme="minorEastAsia"/>
                <w:szCs w:val="21"/>
              </w:rPr>
              <w:t>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hint="eastAsia" w:ascii="宋体" w:hAnsi="宋体" w:eastAsia="宋体" w:cstheme="minorEastAsia"/>
                <w:szCs w:val="21"/>
              </w:rPr>
              <w:t>任何</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6794" w:type="dxa"/>
            <w:gridSpan w:val="5"/>
            <w:tcBorders>
              <w:top w:val="single" w:color="000000" w:sz="4" w:space="0"/>
              <w:bottom w:val="single" w:color="000000" w:sz="4" w:space="0"/>
            </w:tcBorders>
          </w:tcPr>
          <w:p>
            <w:pPr>
              <w:pStyle w:val="33"/>
              <w:spacing w:before="0" w:after="0" w:line="360" w:lineRule="auto"/>
              <w:ind w:left="105"/>
              <w:jc w:val="left"/>
              <w:rPr>
                <w:rFonts w:ascii="宋体" w:hAnsi="宋体" w:eastAsia="宋体" w:cstheme="minorEastAsia"/>
                <w:szCs w:val="21"/>
              </w:rPr>
            </w:pPr>
            <w:r>
              <w:rPr>
                <w:rFonts w:hint="eastAsia" w:ascii="宋体" w:hAnsi="宋体" w:eastAsia="宋体" w:cstheme="minorEastAsia"/>
                <w:szCs w:val="21"/>
              </w:rPr>
              <w:t>髓样癌（所有年龄组）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Ⅰ期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0</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bottom w:val="single" w:color="000000" w:sz="8"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Ⅱ期</w:t>
            </w:r>
          </w:p>
        </w:tc>
        <w:tc>
          <w:tcPr>
            <w:tcW w:w="1532" w:type="dxa"/>
            <w:tcBorders>
              <w:top w:val="single" w:color="000000" w:sz="4" w:space="0"/>
              <w:left w:val="single" w:color="000000" w:sz="4" w:space="0"/>
              <w:bottom w:val="single" w:color="000000" w:sz="8"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2～3</w:t>
            </w:r>
          </w:p>
        </w:tc>
        <w:tc>
          <w:tcPr>
            <w:tcW w:w="1559" w:type="dxa"/>
            <w:tcBorders>
              <w:top w:val="single" w:color="000000" w:sz="4" w:space="0"/>
              <w:left w:val="single" w:color="000000" w:sz="4" w:space="0"/>
              <w:bottom w:val="single" w:color="000000" w:sz="8"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0</w:t>
            </w:r>
          </w:p>
        </w:tc>
        <w:tc>
          <w:tcPr>
            <w:tcW w:w="1539" w:type="dxa"/>
            <w:tcBorders>
              <w:top w:val="single" w:color="000000" w:sz="4" w:space="0"/>
              <w:left w:val="single" w:color="000000" w:sz="4" w:space="0"/>
              <w:bottom w:val="single" w:color="000000" w:sz="8"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8" w:space="0"/>
              <w:bottom w:val="single" w:color="000000" w:sz="8" w:space="0"/>
              <w:right w:val="single" w:color="000000" w:sz="8"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Ⅲ期</w:t>
            </w:r>
          </w:p>
        </w:tc>
        <w:tc>
          <w:tcPr>
            <w:tcW w:w="1532"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1～3</w:t>
            </w:r>
          </w:p>
        </w:tc>
        <w:tc>
          <w:tcPr>
            <w:tcW w:w="1559"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1a</w:t>
            </w:r>
          </w:p>
        </w:tc>
        <w:tc>
          <w:tcPr>
            <w:tcW w:w="1539" w:type="dxa"/>
            <w:tcBorders>
              <w:top w:val="single" w:color="000000" w:sz="8" w:space="0"/>
              <w:left w:val="single" w:color="000000" w:sz="8" w:space="0"/>
              <w:bottom w:val="single" w:color="000000" w:sz="8"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restart"/>
            <w:tcBorders>
              <w:top w:val="single" w:color="000000" w:sz="8" w:space="0"/>
              <w:left w:val="single" w:color="000000" w:sz="8" w:space="0"/>
              <w:bottom w:val="single" w:color="000000" w:sz="8" w:space="0"/>
              <w:right w:val="single" w:color="000000" w:sz="8" w:space="0"/>
            </w:tcBorders>
          </w:tcPr>
          <w:p>
            <w:pPr>
              <w:pStyle w:val="33"/>
              <w:spacing w:before="0" w:after="0" w:line="360" w:lineRule="auto"/>
              <w:ind w:left="0"/>
              <w:jc w:val="center"/>
              <w:rPr>
                <w:rFonts w:ascii="宋体" w:hAnsi="宋体" w:eastAsia="宋体" w:cstheme="minorEastAsia"/>
                <w:szCs w:val="21"/>
              </w:rPr>
            </w:pPr>
          </w:p>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A </w:t>
            </w:r>
            <w:r>
              <w:rPr>
                <w:rFonts w:hint="eastAsia" w:ascii="宋体" w:hAnsi="宋体" w:eastAsia="宋体" w:cstheme="minorEastAsia"/>
                <w:szCs w:val="21"/>
              </w:rPr>
              <w:t>期</w:t>
            </w:r>
          </w:p>
        </w:tc>
        <w:tc>
          <w:tcPr>
            <w:tcW w:w="1532"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4a</w:t>
            </w:r>
          </w:p>
        </w:tc>
        <w:tc>
          <w:tcPr>
            <w:tcW w:w="1559"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8" w:space="0"/>
              <w:left w:val="single" w:color="000000" w:sz="8" w:space="0"/>
              <w:bottom w:val="single" w:color="000000" w:sz="8"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continue"/>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cstheme="minorEastAsia"/>
                <w:szCs w:val="21"/>
              </w:rPr>
            </w:pPr>
          </w:p>
        </w:tc>
        <w:tc>
          <w:tcPr>
            <w:tcW w:w="1532"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1～3</w:t>
            </w:r>
          </w:p>
        </w:tc>
        <w:tc>
          <w:tcPr>
            <w:tcW w:w="1559"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1b</w:t>
            </w:r>
          </w:p>
        </w:tc>
        <w:tc>
          <w:tcPr>
            <w:tcW w:w="1539" w:type="dxa"/>
            <w:tcBorders>
              <w:top w:val="single" w:color="000000" w:sz="8" w:space="0"/>
              <w:left w:val="single" w:color="000000" w:sz="8" w:space="0"/>
              <w:bottom w:val="single" w:color="000000" w:sz="8"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8" w:space="0"/>
              <w:bottom w:val="single" w:color="000000" w:sz="8" w:space="0"/>
              <w:right w:val="single" w:color="000000" w:sz="8"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B </w:t>
            </w:r>
            <w:r>
              <w:rPr>
                <w:rFonts w:hint="eastAsia" w:ascii="宋体" w:hAnsi="宋体" w:eastAsia="宋体" w:cstheme="minorEastAsia"/>
                <w:szCs w:val="21"/>
              </w:rPr>
              <w:t>期</w:t>
            </w:r>
          </w:p>
        </w:tc>
        <w:tc>
          <w:tcPr>
            <w:tcW w:w="1532"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4b</w:t>
            </w:r>
          </w:p>
        </w:tc>
        <w:tc>
          <w:tcPr>
            <w:tcW w:w="1559"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8" w:space="0"/>
              <w:left w:val="single" w:color="000000" w:sz="8" w:space="0"/>
              <w:bottom w:val="single" w:color="000000" w:sz="8"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8" w:space="0"/>
              <w:bottom w:val="single" w:color="000000" w:sz="8" w:space="0"/>
              <w:right w:val="single" w:color="000000" w:sz="8"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C </w:t>
            </w:r>
            <w:r>
              <w:rPr>
                <w:rFonts w:hint="eastAsia" w:ascii="宋体" w:hAnsi="宋体" w:eastAsia="宋体" w:cstheme="minorEastAsia"/>
                <w:szCs w:val="21"/>
              </w:rPr>
              <w:t>期</w:t>
            </w:r>
          </w:p>
        </w:tc>
        <w:tc>
          <w:tcPr>
            <w:tcW w:w="1532"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ind w:left="110"/>
              <w:jc w:val="center"/>
              <w:rPr>
                <w:rFonts w:ascii="宋体" w:hAnsi="宋体" w:eastAsia="宋体" w:cstheme="minorEastAsia"/>
                <w:szCs w:val="21"/>
              </w:rPr>
            </w:pPr>
            <w:r>
              <w:rPr>
                <w:rFonts w:hint="eastAsia" w:ascii="宋体" w:hAnsi="宋体" w:eastAsia="宋体" w:cstheme="minorEastAsia"/>
                <w:szCs w:val="21"/>
              </w:rPr>
              <w:t>任何</w:t>
            </w:r>
          </w:p>
        </w:tc>
        <w:tc>
          <w:tcPr>
            <w:tcW w:w="1559" w:type="dxa"/>
            <w:tcBorders>
              <w:top w:val="single" w:color="000000" w:sz="8" w:space="0"/>
              <w:left w:val="single" w:color="000000" w:sz="8" w:space="0"/>
              <w:bottom w:val="single" w:color="000000" w:sz="8" w:space="0"/>
              <w:right w:val="single" w:color="000000" w:sz="8"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8" w:space="0"/>
              <w:left w:val="single" w:color="000000" w:sz="8" w:space="0"/>
              <w:bottom w:val="single" w:color="000000" w:sz="8"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6794" w:type="dxa"/>
            <w:gridSpan w:val="5"/>
            <w:tcBorders>
              <w:top w:val="single" w:color="000000" w:sz="8" w:space="0"/>
              <w:bottom w:val="single" w:color="000000" w:sz="4" w:space="0"/>
            </w:tcBorders>
          </w:tcPr>
          <w:p>
            <w:pPr>
              <w:pStyle w:val="33"/>
              <w:spacing w:before="0" w:after="0" w:line="360" w:lineRule="auto"/>
              <w:ind w:left="105"/>
              <w:jc w:val="left"/>
              <w:rPr>
                <w:rFonts w:ascii="宋体" w:hAnsi="宋体" w:eastAsia="宋体" w:cstheme="minorEastAsia"/>
                <w:szCs w:val="21"/>
              </w:rPr>
            </w:pPr>
            <w:r>
              <w:rPr>
                <w:rFonts w:hint="eastAsia" w:ascii="宋体" w:hAnsi="宋体" w:eastAsia="宋体" w:cstheme="minorEastAsia"/>
                <w:szCs w:val="21"/>
              </w:rPr>
              <w:t>未分化癌（所有年龄组）</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bottom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A </w:t>
            </w:r>
            <w:r>
              <w:rPr>
                <w:rFonts w:hint="eastAsia" w:ascii="宋体" w:hAnsi="宋体" w:eastAsia="宋体" w:cstheme="minorEastAsia"/>
                <w:szCs w:val="21"/>
              </w:rPr>
              <w:t>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1～3a</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0/x</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restart"/>
            <w:tcBorders>
              <w:top w:val="single" w:color="000000" w:sz="4" w:space="0"/>
              <w:bottom w:val="single" w:color="000000" w:sz="4" w:space="0"/>
              <w:right w:val="single" w:color="000000" w:sz="4" w:space="0"/>
            </w:tcBorders>
          </w:tcPr>
          <w:p>
            <w:pPr>
              <w:pStyle w:val="33"/>
              <w:spacing w:before="0" w:after="0" w:line="360" w:lineRule="auto"/>
              <w:ind w:left="0"/>
              <w:jc w:val="center"/>
              <w:rPr>
                <w:rFonts w:ascii="宋体" w:hAnsi="宋体" w:eastAsia="宋体" w:cstheme="minorEastAsia"/>
                <w:szCs w:val="21"/>
              </w:rPr>
            </w:pPr>
          </w:p>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B </w:t>
            </w:r>
            <w:r>
              <w:rPr>
                <w:rFonts w:hint="eastAsia" w:ascii="宋体" w:hAnsi="宋体" w:eastAsia="宋体" w:cstheme="minorEastAsia"/>
                <w:szCs w:val="21"/>
              </w:rPr>
              <w:t>期</w:t>
            </w: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1～3a</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ascii="宋体" w:hAnsi="宋体" w:eastAsia="宋体" w:cstheme="minorEastAsia"/>
                <w:szCs w:val="21"/>
              </w:rPr>
              <w:t>1</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vMerge w:val="continue"/>
            <w:tcBorders>
              <w:top w:val="nil"/>
              <w:bottom w:val="single" w:color="000000" w:sz="4" w:space="0"/>
              <w:right w:val="single" w:color="000000" w:sz="4" w:space="0"/>
            </w:tcBorders>
          </w:tcPr>
          <w:p>
            <w:pPr>
              <w:spacing w:line="360" w:lineRule="auto"/>
              <w:jc w:val="center"/>
              <w:rPr>
                <w:rFonts w:ascii="宋体" w:hAnsi="宋体" w:cstheme="minorEastAsia"/>
                <w:szCs w:val="21"/>
              </w:rPr>
            </w:pPr>
          </w:p>
        </w:tc>
        <w:tc>
          <w:tcPr>
            <w:tcW w:w="1532"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ascii="宋体" w:hAnsi="宋体" w:eastAsia="宋体" w:cstheme="minorEastAsia"/>
                <w:szCs w:val="21"/>
              </w:rPr>
              <w:t>3b～4</w:t>
            </w:r>
          </w:p>
        </w:tc>
        <w:tc>
          <w:tcPr>
            <w:tcW w:w="1559" w:type="dxa"/>
            <w:tcBorders>
              <w:top w:val="single" w:color="000000" w:sz="4" w:space="0"/>
              <w:left w:val="single" w:color="000000" w:sz="4" w:space="0"/>
              <w:bottom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bottom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97" w:hRule="atLeast"/>
        </w:trPr>
        <w:tc>
          <w:tcPr>
            <w:tcW w:w="2164" w:type="dxa"/>
            <w:gridSpan w:val="2"/>
            <w:tcBorders>
              <w:top w:val="single" w:color="000000" w:sz="4" w:space="0"/>
              <w:right w:val="single" w:color="000000" w:sz="4" w:space="0"/>
            </w:tcBorders>
          </w:tcPr>
          <w:p>
            <w:pPr>
              <w:pStyle w:val="33"/>
              <w:spacing w:before="0" w:after="0" w:line="360" w:lineRule="auto"/>
              <w:ind w:left="105"/>
              <w:jc w:val="center"/>
              <w:rPr>
                <w:rFonts w:ascii="宋体" w:hAnsi="宋体" w:eastAsia="宋体" w:cstheme="minorEastAsia"/>
                <w:szCs w:val="21"/>
              </w:rPr>
            </w:pPr>
            <w:r>
              <w:rPr>
                <w:rFonts w:hint="eastAsia" w:ascii="宋体" w:hAnsi="宋体" w:eastAsia="宋体" w:cstheme="minorEastAsia"/>
                <w:szCs w:val="21"/>
              </w:rPr>
              <w:t>Ⅳ</w:t>
            </w:r>
            <w:r>
              <w:rPr>
                <w:rFonts w:ascii="宋体" w:hAnsi="宋体" w:eastAsia="宋体" w:cstheme="minorEastAsia"/>
                <w:szCs w:val="21"/>
              </w:rPr>
              <w:t xml:space="preserve">C </w:t>
            </w:r>
            <w:r>
              <w:rPr>
                <w:rFonts w:hint="eastAsia" w:ascii="宋体" w:hAnsi="宋体" w:eastAsia="宋体" w:cstheme="minorEastAsia"/>
                <w:szCs w:val="21"/>
              </w:rPr>
              <w:t>期</w:t>
            </w:r>
          </w:p>
        </w:tc>
        <w:tc>
          <w:tcPr>
            <w:tcW w:w="1532" w:type="dxa"/>
            <w:tcBorders>
              <w:top w:val="single" w:color="000000" w:sz="4" w:space="0"/>
              <w:left w:val="single" w:color="000000" w:sz="4" w:space="0"/>
              <w:right w:val="single" w:color="000000" w:sz="4" w:space="0"/>
            </w:tcBorders>
          </w:tcPr>
          <w:p>
            <w:pPr>
              <w:pStyle w:val="33"/>
              <w:spacing w:before="0" w:after="0" w:line="360" w:lineRule="auto"/>
              <w:ind w:left="110"/>
              <w:jc w:val="center"/>
              <w:rPr>
                <w:rFonts w:ascii="宋体" w:hAnsi="宋体" w:eastAsia="宋体" w:cstheme="minorEastAsia"/>
                <w:szCs w:val="21"/>
              </w:rPr>
            </w:pPr>
            <w:r>
              <w:rPr>
                <w:rFonts w:hint="eastAsia" w:ascii="宋体" w:hAnsi="宋体" w:eastAsia="宋体" w:cstheme="minorEastAsia"/>
                <w:szCs w:val="21"/>
              </w:rPr>
              <w:t>任何</w:t>
            </w:r>
          </w:p>
        </w:tc>
        <w:tc>
          <w:tcPr>
            <w:tcW w:w="1559" w:type="dxa"/>
            <w:tcBorders>
              <w:top w:val="single" w:color="000000" w:sz="4" w:space="0"/>
              <w:left w:val="single" w:color="000000" w:sz="4" w:space="0"/>
              <w:right w:val="single" w:color="000000" w:sz="4" w:space="0"/>
            </w:tcBorders>
          </w:tcPr>
          <w:p>
            <w:pPr>
              <w:pStyle w:val="33"/>
              <w:spacing w:before="0" w:after="0" w:line="360" w:lineRule="auto"/>
              <w:jc w:val="center"/>
              <w:rPr>
                <w:rFonts w:ascii="宋体" w:hAnsi="宋体" w:eastAsia="宋体" w:cstheme="minorEastAsia"/>
                <w:szCs w:val="21"/>
              </w:rPr>
            </w:pPr>
            <w:r>
              <w:rPr>
                <w:rFonts w:hint="eastAsia" w:ascii="宋体" w:hAnsi="宋体" w:eastAsia="宋体" w:cstheme="minorEastAsia"/>
                <w:szCs w:val="21"/>
              </w:rPr>
              <w:t>任何</w:t>
            </w:r>
          </w:p>
        </w:tc>
        <w:tc>
          <w:tcPr>
            <w:tcW w:w="1539" w:type="dxa"/>
            <w:tcBorders>
              <w:top w:val="single" w:color="000000" w:sz="4" w:space="0"/>
              <w:left w:val="single" w:color="000000" w:sz="4" w:space="0"/>
            </w:tcBorders>
          </w:tcPr>
          <w:p>
            <w:pPr>
              <w:pStyle w:val="33"/>
              <w:spacing w:before="0" w:after="0" w:line="360" w:lineRule="auto"/>
              <w:ind w:left="113"/>
              <w:jc w:val="center"/>
              <w:rPr>
                <w:rFonts w:ascii="宋体" w:hAnsi="宋体" w:eastAsia="宋体" w:cstheme="minorEastAsia"/>
                <w:szCs w:val="21"/>
              </w:rPr>
            </w:pPr>
            <w:r>
              <w:rPr>
                <w:rFonts w:ascii="宋体" w:hAnsi="宋体" w:eastAsia="宋体" w:cstheme="minorEastAsia"/>
                <w:szCs w:val="21"/>
              </w:rPr>
              <w:t>1</w:t>
            </w:r>
          </w:p>
        </w:tc>
      </w:tr>
    </w:tbl>
    <w:p>
      <w:pPr>
        <w:widowControl/>
        <w:spacing w:line="240" w:lineRule="auto"/>
        <w:ind w:firstLine="420" w:firstLineChars="200"/>
        <w:jc w:val="left"/>
        <w:rPr>
          <w:rFonts w:asciiTheme="minorEastAsia" w:hAnsiTheme="minorEastAsia" w:eastAsiaTheme="minorEastAsia" w:cstheme="minorEastAsia"/>
          <w:color w:val="000000"/>
          <w:kern w:val="0"/>
          <w:szCs w:val="21"/>
          <w:lang w:bidi="ar"/>
        </w:rPr>
      </w:pPr>
    </w:p>
    <w:p>
      <w:pPr>
        <w:widowControl/>
        <w:spacing w:line="240" w:lineRule="auto"/>
        <w:jc w:val="left"/>
        <w:rPr>
          <w:rFonts w:asciiTheme="minorEastAsia" w:hAnsiTheme="minorEastAsia" w:eastAsiaTheme="minorEastAsia" w:cstheme="minorEastAsia"/>
          <w:color w:val="000000"/>
          <w:kern w:val="0"/>
          <w:szCs w:val="21"/>
          <w:lang w:bidi="ar"/>
        </w:rPr>
      </w:pPr>
    </w:p>
    <w:p>
      <w:pPr>
        <w:pStyle w:val="16"/>
        <w:spacing w:line="300" w:lineRule="auto"/>
        <w:ind w:left="0" w:leftChars="0" w:firstLine="1260" w:firstLineChars="600"/>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szCs w:val="21"/>
        </w:rPr>
        <w:t>注：以上表格中“年龄”指患者病理组织标本获取日期时的年龄。</w:t>
      </w:r>
    </w:p>
    <w:p>
      <w:pPr>
        <w:pStyle w:val="16"/>
        <w:spacing w:line="360" w:lineRule="auto"/>
        <w:ind w:left="0" w:leftChars="0" w:firstLine="422"/>
        <w:rPr>
          <w:rFonts w:asciiTheme="minorEastAsia" w:hAnsiTheme="minorEastAsia" w:eastAsiaTheme="minorEastAsia" w:cstheme="minorEastAsia"/>
          <w:b/>
          <w:bCs/>
          <w:color w:val="000000"/>
          <w:kern w:val="0"/>
          <w:szCs w:val="21"/>
          <w:lang w:bidi="ar"/>
        </w:rPr>
      </w:pPr>
      <w:r>
        <w:rPr>
          <w:rFonts w:hint="eastAsia" w:asciiTheme="minorEastAsia" w:hAnsiTheme="minorEastAsia" w:eastAsiaTheme="minorEastAsia" w:cstheme="minorEastAsia"/>
          <w:b/>
          <w:color w:val="000000"/>
          <w:kern w:val="0"/>
          <w:szCs w:val="21"/>
          <w:lang w:bidi="ar"/>
        </w:rPr>
        <w:t>3</w:t>
      </w:r>
      <w:r>
        <w:rPr>
          <w:rFonts w:asciiTheme="minorEastAsia" w:hAnsiTheme="minorEastAsia" w:eastAsiaTheme="minorEastAsia" w:cstheme="minorEastAsia"/>
          <w:b/>
          <w:color w:val="000000"/>
          <w:kern w:val="0"/>
          <w:szCs w:val="21"/>
          <w:lang w:bidi="ar"/>
        </w:rPr>
        <w:t>5</w:t>
      </w:r>
      <w:r>
        <w:rPr>
          <w:rFonts w:hint="eastAsia" w:asciiTheme="minorEastAsia" w:hAnsiTheme="minorEastAsia" w:eastAsiaTheme="minorEastAsia" w:cstheme="minorEastAsia"/>
          <w:b/>
          <w:color w:val="000000"/>
          <w:kern w:val="0"/>
          <w:szCs w:val="21"/>
          <w:lang w:bidi="ar"/>
        </w:rPr>
        <w:t>、肢体肌力</w:t>
      </w:r>
      <w:r>
        <w:rPr>
          <w:rFonts w:asciiTheme="minorEastAsia" w:hAnsiTheme="minorEastAsia" w:eastAsiaTheme="minorEastAsia" w:cstheme="minorEastAsia"/>
          <w:b/>
          <w:color w:val="000000"/>
          <w:kern w:val="0"/>
          <w:szCs w:val="21"/>
          <w:lang w:bidi="ar"/>
        </w:rPr>
        <w:t xml:space="preserve"> </w:t>
      </w:r>
    </w:p>
    <w:p>
      <w:pPr>
        <w:pStyle w:val="16"/>
        <w:spacing w:line="360" w:lineRule="auto"/>
        <w:ind w:left="0" w:leftChars="0" w:firstLine="422"/>
        <w:rPr>
          <w:rFonts w:cs="宋体" w:asciiTheme="minorEastAsia" w:hAnsiTheme="minorEastAsia" w:eastAsiaTheme="minorEastAsia"/>
          <w:color w:val="000000"/>
          <w:kern w:val="0"/>
          <w:szCs w:val="21"/>
          <w:lang w:bidi="ar"/>
        </w:rPr>
      </w:pPr>
      <w:r>
        <w:rPr>
          <w:rFonts w:hint="eastAsia" w:cs="宋体" w:asciiTheme="minorEastAsia" w:hAnsiTheme="minorEastAsia" w:eastAsiaTheme="minorEastAsia"/>
          <w:b/>
          <w:bCs/>
          <w:color w:val="000000"/>
          <w:kern w:val="0"/>
          <w:szCs w:val="21"/>
          <w:lang w:bidi="ar"/>
        </w:rPr>
        <w:t>肢体：</w:t>
      </w:r>
      <w:r>
        <w:rPr>
          <w:rFonts w:hint="eastAsia" w:cs="宋体" w:asciiTheme="minorEastAsia" w:hAnsiTheme="minorEastAsia" w:eastAsiaTheme="minorEastAsia"/>
          <w:color w:val="000000"/>
          <w:kern w:val="0"/>
          <w:szCs w:val="21"/>
          <w:lang w:bidi="ar"/>
        </w:rPr>
        <w:t>肢体是指包括肩关节的整个上肢或包括髋关节的整个下肢。</w:t>
      </w:r>
    </w:p>
    <w:p>
      <w:pPr>
        <w:widowControl/>
        <w:spacing w:line="360" w:lineRule="auto"/>
        <w:ind w:firstLine="422" w:firstLineChars="200"/>
        <w:jc w:val="left"/>
        <w:rPr>
          <w:rFonts w:cs="宋体" w:asciiTheme="minorEastAsia" w:hAnsiTheme="minorEastAsia" w:eastAsiaTheme="minorEastAsia"/>
          <w:color w:val="000000"/>
          <w:kern w:val="0"/>
          <w:szCs w:val="21"/>
          <w:lang w:bidi="ar"/>
        </w:rPr>
      </w:pPr>
      <w:r>
        <w:rPr>
          <w:rFonts w:hint="eastAsia" w:cs="宋体" w:asciiTheme="minorEastAsia" w:hAnsiTheme="minorEastAsia" w:eastAsiaTheme="minorEastAsia"/>
          <w:b/>
          <w:bCs/>
          <w:color w:val="000000"/>
          <w:kern w:val="0"/>
          <w:szCs w:val="21"/>
          <w:lang w:bidi="ar"/>
        </w:rPr>
        <w:t>肌力：</w:t>
      </w:r>
      <w:r>
        <w:rPr>
          <w:rFonts w:hint="eastAsia" w:cs="宋体" w:asciiTheme="minorEastAsia" w:hAnsiTheme="minorEastAsia" w:eastAsiaTheme="minorEastAsia"/>
          <w:color w:val="000000"/>
          <w:kern w:val="0"/>
          <w:szCs w:val="21"/>
          <w:lang w:bidi="ar"/>
        </w:rPr>
        <w:t>指肌肉收缩时的力量。肌力划分为</w:t>
      </w:r>
      <w:r>
        <w:rPr>
          <w:rFonts w:cs="宋体" w:asciiTheme="minorEastAsia" w:hAnsiTheme="minorEastAsia" w:eastAsiaTheme="minorEastAsia"/>
          <w:color w:val="000000"/>
          <w:kern w:val="0"/>
          <w:szCs w:val="21"/>
          <w:lang w:bidi="ar"/>
        </w:rPr>
        <w:t xml:space="preserve"> 0-5 级，具体为： </w:t>
      </w:r>
    </w:p>
    <w:p>
      <w:pPr>
        <w:widowControl/>
        <w:spacing w:line="360" w:lineRule="auto"/>
        <w:ind w:firstLine="840" w:firstLineChars="400"/>
        <w:jc w:val="left"/>
        <w:rPr>
          <w:rFonts w:cs="宋体" w:asciiTheme="minorEastAsia" w:hAnsiTheme="minorEastAsia" w:eastAsiaTheme="minorEastAsia"/>
          <w:szCs w:val="21"/>
        </w:rPr>
      </w:pPr>
      <w:r>
        <w:rPr>
          <w:rFonts w:cs="宋体" w:asciiTheme="minorEastAsia" w:hAnsiTheme="minorEastAsia" w:eastAsiaTheme="minorEastAsia"/>
          <w:color w:val="000000"/>
          <w:kern w:val="0"/>
          <w:szCs w:val="21"/>
          <w:lang w:bidi="ar"/>
        </w:rPr>
        <w:t xml:space="preserve">0 级：肌肉完全瘫痪，毫无收缩。 </w:t>
      </w:r>
    </w:p>
    <w:p>
      <w:pPr>
        <w:widowControl/>
        <w:spacing w:line="360" w:lineRule="auto"/>
        <w:ind w:firstLine="840" w:firstLineChars="400"/>
        <w:jc w:val="left"/>
        <w:rPr>
          <w:rFonts w:cs="宋体" w:asciiTheme="minorEastAsia" w:hAnsiTheme="minorEastAsia" w:eastAsiaTheme="minorEastAsia"/>
          <w:szCs w:val="21"/>
        </w:rPr>
      </w:pPr>
      <w:r>
        <w:rPr>
          <w:rFonts w:cs="宋体" w:asciiTheme="minorEastAsia" w:hAnsiTheme="minorEastAsia" w:eastAsiaTheme="minorEastAsia"/>
          <w:color w:val="000000"/>
          <w:kern w:val="0"/>
          <w:szCs w:val="21"/>
          <w:lang w:bidi="ar"/>
        </w:rPr>
        <w:t xml:space="preserve">1 级：可看到或者触及肌肉轻微收缩，但不能产生动作。 </w:t>
      </w:r>
    </w:p>
    <w:p>
      <w:pPr>
        <w:widowControl/>
        <w:spacing w:line="360" w:lineRule="auto"/>
        <w:ind w:firstLine="840" w:firstLineChars="400"/>
        <w:jc w:val="left"/>
        <w:rPr>
          <w:rFonts w:cs="宋体" w:asciiTheme="minorEastAsia" w:hAnsiTheme="minorEastAsia" w:eastAsiaTheme="minorEastAsia"/>
          <w:szCs w:val="21"/>
        </w:rPr>
      </w:pPr>
      <w:r>
        <w:rPr>
          <w:rFonts w:cs="宋体" w:asciiTheme="minorEastAsia" w:hAnsiTheme="minorEastAsia" w:eastAsiaTheme="minorEastAsia"/>
          <w:color w:val="000000"/>
          <w:kern w:val="0"/>
          <w:szCs w:val="21"/>
          <w:lang w:bidi="ar"/>
        </w:rPr>
        <w:t xml:space="preserve">2 级：肌肉在不受重力影响下，可进行运动，即肢体能在床面上移动，但不能抬高。 </w:t>
      </w:r>
    </w:p>
    <w:p>
      <w:pPr>
        <w:widowControl/>
        <w:spacing w:line="360" w:lineRule="auto"/>
        <w:ind w:firstLine="840" w:firstLineChars="400"/>
        <w:jc w:val="left"/>
        <w:rPr>
          <w:rFonts w:cs="宋体" w:asciiTheme="minorEastAsia" w:hAnsiTheme="minorEastAsia" w:eastAsiaTheme="minorEastAsia"/>
          <w:szCs w:val="21"/>
        </w:rPr>
      </w:pPr>
      <w:r>
        <w:rPr>
          <w:rFonts w:cs="宋体" w:asciiTheme="minorEastAsia" w:hAnsiTheme="minorEastAsia" w:eastAsiaTheme="minorEastAsia"/>
          <w:color w:val="000000"/>
          <w:kern w:val="0"/>
          <w:szCs w:val="21"/>
          <w:lang w:bidi="ar"/>
        </w:rPr>
        <w:t xml:space="preserve">3 级：在和地心引力相反的方向中尚能完成其动作，但不能对抗外加阻力。 </w:t>
      </w:r>
    </w:p>
    <w:p>
      <w:pPr>
        <w:widowControl/>
        <w:spacing w:line="360" w:lineRule="auto"/>
        <w:ind w:firstLine="840" w:firstLineChars="400"/>
        <w:jc w:val="left"/>
        <w:rPr>
          <w:rFonts w:cs="宋体" w:asciiTheme="minorEastAsia" w:hAnsiTheme="minorEastAsia" w:eastAsiaTheme="minorEastAsia"/>
          <w:szCs w:val="21"/>
        </w:rPr>
      </w:pPr>
      <w:r>
        <w:rPr>
          <w:rFonts w:cs="宋体" w:asciiTheme="minorEastAsia" w:hAnsiTheme="minorEastAsia" w:eastAsiaTheme="minorEastAsia"/>
          <w:color w:val="000000"/>
          <w:kern w:val="0"/>
          <w:szCs w:val="21"/>
          <w:lang w:bidi="ar"/>
        </w:rPr>
        <w:t xml:space="preserve">4 级：能对抗一定的阻力，但较正常人为低。 </w:t>
      </w:r>
    </w:p>
    <w:p>
      <w:pPr>
        <w:pStyle w:val="16"/>
        <w:spacing w:line="360" w:lineRule="auto"/>
        <w:ind w:left="0" w:leftChars="0" w:firstLine="840" w:firstLineChars="400"/>
        <w:rPr>
          <w:rFonts w:cs="宋体" w:asciiTheme="minorEastAsia" w:hAnsiTheme="minorEastAsia" w:eastAsiaTheme="minorEastAsia"/>
          <w:color w:val="000000"/>
          <w:kern w:val="0"/>
          <w:szCs w:val="21"/>
          <w:lang w:bidi="ar"/>
        </w:rPr>
      </w:pPr>
      <w:r>
        <w:rPr>
          <w:rFonts w:cs="宋体" w:asciiTheme="minorEastAsia" w:hAnsiTheme="minorEastAsia" w:eastAsiaTheme="minorEastAsia"/>
          <w:color w:val="000000"/>
          <w:kern w:val="0"/>
          <w:szCs w:val="21"/>
          <w:lang w:bidi="ar"/>
        </w:rPr>
        <w:t xml:space="preserve">5 </w:t>
      </w:r>
      <w:r>
        <w:rPr>
          <w:rFonts w:hint="eastAsia" w:cs="宋体" w:asciiTheme="minorEastAsia" w:hAnsiTheme="minorEastAsia" w:eastAsiaTheme="minorEastAsia"/>
          <w:color w:val="000000"/>
          <w:kern w:val="0"/>
          <w:szCs w:val="21"/>
          <w:lang w:bidi="ar"/>
        </w:rPr>
        <w:t>级：正常肌力。</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6、语言能力完全丧失或严重咀嚼吞咽功能障碍：</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语言能力完全丧失，指无法发出四种语音（包括口唇音、齿舌音、口盖音和喉头音）中的任何三种、或声带全部切除，或因大脑语言中枢受伤害而患失语症。</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0"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kern w:val="0"/>
          <w:szCs w:val="21"/>
          <w:lang w:bidi="ar"/>
        </w:rPr>
        <w:t>严重咀嚼吞咽功能障碍，指因牙齿以外的原因导致器质障碍或机能障碍，以致不能作咀嚼吞咽运动，除流质食物外不能摄取或吞咽的状态。</w:t>
      </w:r>
    </w:p>
    <w:p>
      <w:pPr>
        <w:widowControl/>
        <w:spacing w:line="360" w:lineRule="auto"/>
        <w:ind w:firstLine="422"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7、六项基本日常生活活动：</w:t>
      </w:r>
      <w:r>
        <w:rPr>
          <w:rFonts w:hint="eastAsia" w:asciiTheme="minorEastAsia" w:hAnsiTheme="minorEastAsia" w:eastAsiaTheme="minorEastAsia" w:cstheme="minorEastAsia"/>
          <w:color w:val="000000"/>
          <w:kern w:val="0"/>
          <w:szCs w:val="21"/>
          <w:lang w:bidi="ar"/>
        </w:rPr>
        <w:t>六项基本日常生活活动是指：（</w:t>
      </w:r>
      <w:r>
        <w:rPr>
          <w:rFonts w:asciiTheme="minorEastAsia" w:hAnsiTheme="minorEastAsia" w:eastAsiaTheme="minorEastAsia" w:cstheme="minorEastAsia"/>
          <w:color w:val="000000"/>
          <w:kern w:val="0"/>
          <w:szCs w:val="21"/>
          <w:lang w:bidi="ar"/>
        </w:rPr>
        <w:t>1）穿衣：自己能够穿衣及脱衣；（2）移动：自己从一个房间到另一个房间；（3）行动：自己上下床或上下轮椅；（4）如厕：自己</w:t>
      </w:r>
      <w:r>
        <w:rPr>
          <w:rFonts w:hint="eastAsia" w:asciiTheme="minorEastAsia" w:hAnsiTheme="minorEastAsia" w:eastAsiaTheme="minorEastAsia" w:cstheme="minorEastAsia"/>
          <w:color w:val="000000"/>
          <w:kern w:val="0"/>
          <w:szCs w:val="21"/>
          <w:lang w:bidi="ar"/>
        </w:rPr>
        <w:t>控制进行大小便；（</w:t>
      </w:r>
      <w:r>
        <w:rPr>
          <w:rFonts w:asciiTheme="minorEastAsia" w:hAnsiTheme="minorEastAsia" w:eastAsiaTheme="minorEastAsia" w:cstheme="minorEastAsia"/>
          <w:color w:val="000000"/>
          <w:kern w:val="0"/>
          <w:szCs w:val="21"/>
          <w:lang w:bidi="ar"/>
        </w:rPr>
        <w:t>5）进食：自己从已准备好的碗或碟中取食物放入口中；（6）洗澡：自己进行淋浴或盆浴。</w:t>
      </w:r>
    </w:p>
    <w:p>
      <w:pPr>
        <w:widowControl/>
        <w:spacing w:line="360" w:lineRule="auto"/>
        <w:ind w:firstLine="422"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b/>
          <w:color w:val="000000"/>
          <w:kern w:val="0"/>
          <w:szCs w:val="21"/>
          <w:lang w:bidi="ar"/>
        </w:rPr>
        <w:t>六项基本日常生活活动能力的鉴定不适用于</w:t>
      </w:r>
      <w:r>
        <w:rPr>
          <w:rFonts w:asciiTheme="minorEastAsia" w:hAnsiTheme="minorEastAsia" w:eastAsiaTheme="minorEastAsia" w:cstheme="minorEastAsia"/>
          <w:b/>
          <w:color w:val="000000"/>
          <w:kern w:val="0"/>
          <w:szCs w:val="21"/>
          <w:lang w:bidi="ar"/>
        </w:rPr>
        <w:t xml:space="preserve"> 0-3 </w:t>
      </w:r>
      <w:r>
        <w:rPr>
          <w:rFonts w:hint="eastAsia" w:asciiTheme="minorEastAsia" w:hAnsiTheme="minorEastAsia" w:eastAsiaTheme="minorEastAsia" w:cstheme="minorEastAsia"/>
          <w:b/>
          <w:color w:val="000000"/>
          <w:kern w:val="0"/>
          <w:szCs w:val="21"/>
          <w:lang w:bidi="ar"/>
        </w:rPr>
        <w:t>周岁幼儿。</w:t>
      </w:r>
    </w:p>
    <w:p>
      <w:pPr>
        <w:pStyle w:val="16"/>
        <w:spacing w:line="360" w:lineRule="auto"/>
        <w:ind w:left="0" w:leftChars="0" w:firstLine="422"/>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3</w:t>
      </w:r>
      <w:r>
        <w:rPr>
          <w:rFonts w:asciiTheme="minorEastAsia" w:hAnsiTheme="minorEastAsia" w:eastAsiaTheme="minorEastAsia" w:cstheme="minorEastAsia"/>
          <w:b/>
          <w:bCs/>
          <w:szCs w:val="21"/>
        </w:rPr>
        <w:t>8、酗酒：</w:t>
      </w:r>
      <w:r>
        <w:rPr>
          <w:rFonts w:hint="eastAsia" w:asciiTheme="minorEastAsia" w:hAnsiTheme="minorEastAsia" w:eastAsiaTheme="minorEastAsia" w:cstheme="minorEastAsia"/>
          <w:szCs w:val="21"/>
        </w:rPr>
        <w:t>指酒精摄入过量。长期过量饮酒导致身体脏器严重损害，或一次大量饮酒导致急性酒精中毒或自制力丧失造成自身伤害、斗殴肇事或交通肇事。酒精过量由医院或指定医疗机构或公安部门判定。</w:t>
      </w:r>
    </w:p>
    <w:p>
      <w:pPr>
        <w:pStyle w:val="16"/>
        <w:spacing w:line="360" w:lineRule="auto"/>
        <w:ind w:left="0" w:leftChars="0" w:firstLine="422"/>
        <w:rPr>
          <w:rFonts w:asciiTheme="minorEastAsia" w:hAnsiTheme="minorEastAsia" w:eastAsiaTheme="minorEastAsia" w:cstheme="minorEastAsia"/>
          <w:color w:val="000000"/>
          <w:kern w:val="0"/>
          <w:szCs w:val="21"/>
          <w:lang w:bidi="ar"/>
        </w:rPr>
      </w:pPr>
      <w:r>
        <w:rPr>
          <w:rFonts w:asciiTheme="minorEastAsia" w:hAnsiTheme="minorEastAsia" w:eastAsiaTheme="minorEastAsia" w:cstheme="minorEastAsia"/>
          <w:b/>
          <w:bCs/>
          <w:szCs w:val="21"/>
        </w:rPr>
        <w:t>39、</w:t>
      </w:r>
      <w:r>
        <w:rPr>
          <w:rFonts w:hint="eastAsia" w:asciiTheme="minorEastAsia" w:hAnsiTheme="minorEastAsia" w:eastAsiaTheme="minorEastAsia" w:cstheme="minorEastAsia"/>
          <w:b/>
          <w:bCs/>
          <w:szCs w:val="21"/>
        </w:rPr>
        <w:t>永久不可逆：</w:t>
      </w:r>
      <w:r>
        <w:rPr>
          <w:rFonts w:hint="eastAsia" w:asciiTheme="minorEastAsia" w:hAnsiTheme="minorEastAsia" w:eastAsiaTheme="minorEastAsia" w:cstheme="minorEastAsia"/>
          <w:color w:val="000000"/>
          <w:kern w:val="0"/>
          <w:szCs w:val="21"/>
          <w:lang w:bidi="ar"/>
        </w:rPr>
        <w:t>指自疾病确诊或意外伤害发生之日起，经过积极治疗</w:t>
      </w:r>
      <w:r>
        <w:rPr>
          <w:rFonts w:asciiTheme="minorEastAsia" w:hAnsiTheme="minorEastAsia" w:eastAsiaTheme="minorEastAsia" w:cstheme="minorEastAsia"/>
          <w:color w:val="000000"/>
          <w:kern w:val="0"/>
          <w:szCs w:val="21"/>
          <w:lang w:bidi="ar"/>
        </w:rPr>
        <w:t xml:space="preserve"> 180 </w:t>
      </w:r>
      <w:r>
        <w:rPr>
          <w:rFonts w:hint="eastAsia" w:asciiTheme="minorEastAsia" w:hAnsiTheme="minorEastAsia" w:eastAsiaTheme="minorEastAsia" w:cstheme="minorEastAsia"/>
          <w:color w:val="000000"/>
          <w:kern w:val="0"/>
          <w:szCs w:val="21"/>
          <w:lang w:bidi="ar"/>
        </w:rPr>
        <w:t>天后，仍无法通过现有医疗手段恢复。</w:t>
      </w:r>
    </w:p>
    <w:p>
      <w:pPr>
        <w:widowControl/>
        <w:spacing w:line="360" w:lineRule="auto"/>
        <w:ind w:firstLine="422" w:firstLineChars="200"/>
        <w:jc w:val="left"/>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color w:val="000000"/>
          <w:kern w:val="0"/>
          <w:szCs w:val="21"/>
          <w:lang w:bidi="ar"/>
        </w:rPr>
        <w:t>4</w:t>
      </w:r>
      <w:r>
        <w:rPr>
          <w:rFonts w:asciiTheme="minorEastAsia" w:hAnsiTheme="minorEastAsia" w:eastAsiaTheme="minorEastAsia" w:cstheme="minorEastAsia"/>
          <w:b/>
          <w:bCs/>
          <w:color w:val="000000"/>
          <w:kern w:val="0"/>
          <w:szCs w:val="21"/>
          <w:lang w:bidi="ar"/>
        </w:rPr>
        <w:t>0、美国纽约心脏病学会（New York Heart Association，NYHA）心功能状态分级：</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美国纽约心脏病学会（</w:t>
      </w:r>
      <w:r>
        <w:rPr>
          <w:rFonts w:asciiTheme="minorEastAsia" w:hAnsiTheme="minorEastAsia" w:eastAsiaTheme="minorEastAsia" w:cstheme="minorEastAsia"/>
          <w:color w:val="000000"/>
          <w:kern w:val="0"/>
          <w:szCs w:val="21"/>
          <w:lang w:bidi="ar"/>
        </w:rPr>
        <w:t xml:space="preserve">New York Heart Association，NYHA）将心功能状态分为四级：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Ⅰ级：心脏病病人日常活动量不受限制，一般活动不引起乏力、呼吸困难等心衰症状。</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Ⅱ级：心脏病病人体力活动轻度受限制，休息时无自觉症状，一般活动下可出现心衰症状。</w:t>
      </w:r>
      <w:r>
        <w:rPr>
          <w:rFonts w:asciiTheme="minorEastAsia" w:hAnsiTheme="minorEastAsia" w:eastAsiaTheme="minorEastAsia" w:cstheme="minorEastAsia"/>
          <w:color w:val="000000"/>
          <w:kern w:val="0"/>
          <w:szCs w:val="21"/>
          <w:lang w:bidi="ar"/>
        </w:rPr>
        <w:t xml:space="preserve"> </w:t>
      </w:r>
    </w:p>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Ⅲ级：心脏病病人体力活动明显受限，低于平时一般活动即引起心衰症状。</w:t>
      </w:r>
      <w:r>
        <w:rPr>
          <w:rFonts w:asciiTheme="minorEastAsia" w:hAnsiTheme="minorEastAsia" w:eastAsiaTheme="minorEastAsia" w:cstheme="minorEastAsia"/>
          <w:color w:val="000000"/>
          <w:kern w:val="0"/>
          <w:szCs w:val="21"/>
          <w:lang w:bidi="ar"/>
        </w:rPr>
        <w:t xml:space="preserve"> </w:t>
      </w:r>
    </w:p>
    <w:p>
      <w:pPr>
        <w:pStyle w:val="16"/>
        <w:spacing w:line="360" w:lineRule="auto"/>
        <w:ind w:left="0" w:leftChars="0"/>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Ⅳ级：心脏病病人不能从事任何体力活动，休息状态下也存在心衰症状，活动后加重。</w:t>
      </w:r>
    </w:p>
    <w:p/>
    <w:sectPr>
      <w:footerReference r:id="rId5" w:type="default"/>
      <w:pgSz w:w="11906" w:h="16838"/>
      <w:pgMar w:top="2098" w:right="1417" w:bottom="1134"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1</w:t>
    </w:r>
    <w:r>
      <w:rPr>
        <w:lang w:val="zh-CN"/>
      </w:rPr>
      <w:fldChar w:fldCharType="end"/>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61B1E"/>
    <w:multiLevelType w:val="singleLevel"/>
    <w:tmpl w:val="82761B1E"/>
    <w:lvl w:ilvl="0" w:tentative="0">
      <w:start w:val="1"/>
      <w:numFmt w:val="decimal"/>
      <w:suff w:val="nothing"/>
      <w:lvlText w:val="（%1）"/>
      <w:lvlJc w:val="left"/>
    </w:lvl>
  </w:abstractNum>
  <w:abstractNum w:abstractNumId="1">
    <w:nsid w:val="B6967681"/>
    <w:multiLevelType w:val="singleLevel"/>
    <w:tmpl w:val="B6967681"/>
    <w:lvl w:ilvl="0" w:tentative="0">
      <w:start w:val="1"/>
      <w:numFmt w:val="decimal"/>
      <w:suff w:val="nothing"/>
      <w:lvlText w:val="（%1）"/>
      <w:lvlJc w:val="left"/>
    </w:lvl>
  </w:abstractNum>
  <w:abstractNum w:abstractNumId="2">
    <w:nsid w:val="D443E9BD"/>
    <w:multiLevelType w:val="singleLevel"/>
    <w:tmpl w:val="D443E9BD"/>
    <w:lvl w:ilvl="0" w:tentative="0">
      <w:start w:val="1"/>
      <w:numFmt w:val="decimal"/>
      <w:suff w:val="nothing"/>
      <w:lvlText w:val="（%1）"/>
      <w:lvlJc w:val="left"/>
    </w:lvl>
  </w:abstractNum>
  <w:abstractNum w:abstractNumId="3">
    <w:nsid w:val="0715559B"/>
    <w:multiLevelType w:val="multilevel"/>
    <w:tmpl w:val="0715559B"/>
    <w:lvl w:ilvl="0" w:tentative="0">
      <w:start w:val="1"/>
      <w:numFmt w:val="decimalEnclosedCircle"/>
      <w:lvlText w:val="%1"/>
      <w:lvlJc w:val="left"/>
      <w:pPr>
        <w:ind w:left="2258" w:hanging="420"/>
      </w:pPr>
      <w:rPr>
        <w:rFonts w:hint="default"/>
      </w:rPr>
    </w:lvl>
    <w:lvl w:ilvl="1" w:tentative="0">
      <w:start w:val="1"/>
      <w:numFmt w:val="lowerLetter"/>
      <w:lvlText w:val="%2)"/>
      <w:lvlJc w:val="left"/>
      <w:pPr>
        <w:ind w:left="2678" w:hanging="420"/>
      </w:pPr>
    </w:lvl>
    <w:lvl w:ilvl="2" w:tentative="0">
      <w:start w:val="1"/>
      <w:numFmt w:val="lowerRoman"/>
      <w:lvlText w:val="%3."/>
      <w:lvlJc w:val="right"/>
      <w:pPr>
        <w:ind w:left="3098" w:hanging="420"/>
      </w:pPr>
    </w:lvl>
    <w:lvl w:ilvl="3" w:tentative="0">
      <w:start w:val="1"/>
      <w:numFmt w:val="decimal"/>
      <w:lvlText w:val="%4."/>
      <w:lvlJc w:val="left"/>
      <w:pPr>
        <w:ind w:left="3518" w:hanging="420"/>
      </w:pPr>
    </w:lvl>
    <w:lvl w:ilvl="4" w:tentative="0">
      <w:start w:val="1"/>
      <w:numFmt w:val="lowerLetter"/>
      <w:lvlText w:val="%5)"/>
      <w:lvlJc w:val="left"/>
      <w:pPr>
        <w:ind w:left="3938" w:hanging="420"/>
      </w:pPr>
    </w:lvl>
    <w:lvl w:ilvl="5" w:tentative="0">
      <w:start w:val="1"/>
      <w:numFmt w:val="lowerRoman"/>
      <w:lvlText w:val="%6."/>
      <w:lvlJc w:val="right"/>
      <w:pPr>
        <w:ind w:left="4358" w:hanging="420"/>
      </w:pPr>
    </w:lvl>
    <w:lvl w:ilvl="6" w:tentative="0">
      <w:start w:val="1"/>
      <w:numFmt w:val="decimal"/>
      <w:lvlText w:val="%7."/>
      <w:lvlJc w:val="left"/>
      <w:pPr>
        <w:ind w:left="4778" w:hanging="420"/>
      </w:pPr>
    </w:lvl>
    <w:lvl w:ilvl="7" w:tentative="0">
      <w:start w:val="1"/>
      <w:numFmt w:val="lowerLetter"/>
      <w:lvlText w:val="%8)"/>
      <w:lvlJc w:val="left"/>
      <w:pPr>
        <w:ind w:left="5198" w:hanging="420"/>
      </w:pPr>
    </w:lvl>
    <w:lvl w:ilvl="8" w:tentative="0">
      <w:start w:val="1"/>
      <w:numFmt w:val="lowerRoman"/>
      <w:lvlText w:val="%9."/>
      <w:lvlJc w:val="right"/>
      <w:pPr>
        <w:ind w:left="5618" w:hanging="420"/>
      </w:pPr>
    </w:lvl>
  </w:abstractNum>
  <w:abstractNum w:abstractNumId="4">
    <w:nsid w:val="07BF4A78"/>
    <w:multiLevelType w:val="multilevel"/>
    <w:tmpl w:val="07BF4A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
    <w:nsid w:val="0BAB538E"/>
    <w:multiLevelType w:val="multilevel"/>
    <w:tmpl w:val="0BAB538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6">
    <w:nsid w:val="0CD85BC4"/>
    <w:multiLevelType w:val="multilevel"/>
    <w:tmpl w:val="0CD85BC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0D1D3B39"/>
    <w:multiLevelType w:val="multilevel"/>
    <w:tmpl w:val="0D1D3B3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8">
    <w:nsid w:val="11B74F6C"/>
    <w:multiLevelType w:val="multilevel"/>
    <w:tmpl w:val="11B74F6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9">
    <w:nsid w:val="178F7452"/>
    <w:multiLevelType w:val="multilevel"/>
    <w:tmpl w:val="178F74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0">
    <w:nsid w:val="19C07E1E"/>
    <w:multiLevelType w:val="multilevel"/>
    <w:tmpl w:val="19C07E1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1">
    <w:nsid w:val="1B0A1478"/>
    <w:multiLevelType w:val="multilevel"/>
    <w:tmpl w:val="1B0A147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2">
    <w:nsid w:val="1E9E4342"/>
    <w:multiLevelType w:val="multilevel"/>
    <w:tmpl w:val="1E9E4342"/>
    <w:lvl w:ilvl="0" w:tentative="0">
      <w:start w:val="1"/>
      <w:numFmt w:val="chineseCounting"/>
      <w:lvlText w:val="（%1）"/>
      <w:lvlJc w:val="left"/>
      <w:pPr>
        <w:ind w:left="704" w:hanging="420"/>
      </w:pPr>
      <w:rPr>
        <w:rFonts w:hint="eastAsia"/>
        <w:b/>
        <w:bCs/>
      </w:rPr>
    </w:lvl>
    <w:lvl w:ilvl="1" w:tentative="0">
      <w:start w:val="1"/>
      <w:numFmt w:val="decimalEnclosedCircle"/>
      <w:lvlText w:val="%2"/>
      <w:lvlJc w:val="left"/>
      <w:pPr>
        <w:ind w:left="2624" w:hanging="360"/>
      </w:pPr>
      <w:rPr>
        <w:rFonts w:hint="default"/>
      </w:rPr>
    </w:lvl>
    <w:lvl w:ilvl="2" w:tentative="0">
      <w:start w:val="1"/>
      <w:numFmt w:val="decimal"/>
      <w:lvlText w:val="（%3）"/>
      <w:lvlJc w:val="left"/>
      <w:pPr>
        <w:ind w:left="3404" w:hanging="720"/>
      </w:pPr>
      <w:rPr>
        <w:rFonts w:hint="default"/>
      </w:rPr>
    </w:lvl>
    <w:lvl w:ilvl="3" w:tentative="0">
      <w:start w:val="1"/>
      <w:numFmt w:val="decimal"/>
      <w:lvlText w:val="%4."/>
      <w:lvlJc w:val="left"/>
      <w:pPr>
        <w:ind w:left="3524" w:hanging="420"/>
      </w:pPr>
    </w:lvl>
    <w:lvl w:ilvl="4" w:tentative="0">
      <w:start w:val="1"/>
      <w:numFmt w:val="lowerLetter"/>
      <w:lvlText w:val="%5)"/>
      <w:lvlJc w:val="left"/>
      <w:pPr>
        <w:ind w:left="3944" w:hanging="420"/>
      </w:pPr>
    </w:lvl>
    <w:lvl w:ilvl="5" w:tentative="0">
      <w:start w:val="1"/>
      <w:numFmt w:val="lowerRoman"/>
      <w:lvlText w:val="%6."/>
      <w:lvlJc w:val="right"/>
      <w:pPr>
        <w:ind w:left="4364" w:hanging="420"/>
      </w:pPr>
    </w:lvl>
    <w:lvl w:ilvl="6" w:tentative="0">
      <w:start w:val="1"/>
      <w:numFmt w:val="decimal"/>
      <w:lvlText w:val="%7."/>
      <w:lvlJc w:val="left"/>
      <w:pPr>
        <w:ind w:left="4784" w:hanging="420"/>
      </w:pPr>
    </w:lvl>
    <w:lvl w:ilvl="7" w:tentative="0">
      <w:start w:val="1"/>
      <w:numFmt w:val="lowerLetter"/>
      <w:lvlText w:val="%8)"/>
      <w:lvlJc w:val="left"/>
      <w:pPr>
        <w:ind w:left="5204" w:hanging="420"/>
      </w:pPr>
    </w:lvl>
    <w:lvl w:ilvl="8" w:tentative="0">
      <w:start w:val="1"/>
      <w:numFmt w:val="lowerRoman"/>
      <w:lvlText w:val="%9."/>
      <w:lvlJc w:val="right"/>
      <w:pPr>
        <w:ind w:left="5624" w:hanging="420"/>
      </w:pPr>
    </w:lvl>
  </w:abstractNum>
  <w:abstractNum w:abstractNumId="13">
    <w:nsid w:val="1EFF54AC"/>
    <w:multiLevelType w:val="multilevel"/>
    <w:tmpl w:val="1EFF54A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4">
    <w:nsid w:val="206D1F9A"/>
    <w:multiLevelType w:val="multilevel"/>
    <w:tmpl w:val="206D1F9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5">
    <w:nsid w:val="21D0644F"/>
    <w:multiLevelType w:val="multilevel"/>
    <w:tmpl w:val="21D064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6">
    <w:nsid w:val="21E86C9F"/>
    <w:multiLevelType w:val="multilevel"/>
    <w:tmpl w:val="21E86C9F"/>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7">
    <w:nsid w:val="2AE542E3"/>
    <w:multiLevelType w:val="multilevel"/>
    <w:tmpl w:val="2AE542E3"/>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8">
    <w:nsid w:val="32344348"/>
    <w:multiLevelType w:val="multilevel"/>
    <w:tmpl w:val="3234434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19">
    <w:nsid w:val="334360B7"/>
    <w:multiLevelType w:val="multilevel"/>
    <w:tmpl w:val="334360B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0">
    <w:nsid w:val="33AE60CA"/>
    <w:multiLevelType w:val="multilevel"/>
    <w:tmpl w:val="33AE60C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1">
    <w:nsid w:val="350C5D55"/>
    <w:multiLevelType w:val="multilevel"/>
    <w:tmpl w:val="350C5D55"/>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2">
    <w:nsid w:val="35BC351A"/>
    <w:multiLevelType w:val="multilevel"/>
    <w:tmpl w:val="35BC351A"/>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3">
    <w:nsid w:val="38A42B62"/>
    <w:multiLevelType w:val="multilevel"/>
    <w:tmpl w:val="38A42B6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4">
    <w:nsid w:val="3DA075E4"/>
    <w:multiLevelType w:val="multilevel"/>
    <w:tmpl w:val="3DA075E4"/>
    <w:lvl w:ilvl="0" w:tentative="0">
      <w:start w:val="1"/>
      <w:numFmt w:val="lowerLetter"/>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5">
    <w:nsid w:val="3E796ED7"/>
    <w:multiLevelType w:val="multilevel"/>
    <w:tmpl w:val="3E796ED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6">
    <w:nsid w:val="3F183C6B"/>
    <w:multiLevelType w:val="multilevel"/>
    <w:tmpl w:val="3F183C6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7">
    <w:nsid w:val="3F9F45DE"/>
    <w:multiLevelType w:val="singleLevel"/>
    <w:tmpl w:val="3F9F45DE"/>
    <w:lvl w:ilvl="0" w:tentative="0">
      <w:start w:val="1"/>
      <w:numFmt w:val="decimal"/>
      <w:suff w:val="nothing"/>
      <w:lvlText w:val="（%1）"/>
      <w:lvlJc w:val="left"/>
    </w:lvl>
  </w:abstractNum>
  <w:abstractNum w:abstractNumId="28">
    <w:nsid w:val="401A60F6"/>
    <w:multiLevelType w:val="multilevel"/>
    <w:tmpl w:val="401A60F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29">
    <w:nsid w:val="40AF43C5"/>
    <w:multiLevelType w:val="multilevel"/>
    <w:tmpl w:val="40AF43C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0">
    <w:nsid w:val="40E43352"/>
    <w:multiLevelType w:val="multilevel"/>
    <w:tmpl w:val="40E4335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1">
    <w:nsid w:val="45D9672D"/>
    <w:multiLevelType w:val="multilevel"/>
    <w:tmpl w:val="45D9672D"/>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2">
    <w:nsid w:val="46E031B3"/>
    <w:multiLevelType w:val="multilevel"/>
    <w:tmpl w:val="46E031B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3">
    <w:nsid w:val="488E248F"/>
    <w:multiLevelType w:val="multilevel"/>
    <w:tmpl w:val="488E248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4">
    <w:nsid w:val="4AF31844"/>
    <w:multiLevelType w:val="multilevel"/>
    <w:tmpl w:val="4AF3184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5">
    <w:nsid w:val="4DDF33D6"/>
    <w:multiLevelType w:val="multilevel"/>
    <w:tmpl w:val="4DDF33D6"/>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6">
    <w:nsid w:val="4FE716F8"/>
    <w:multiLevelType w:val="multilevel"/>
    <w:tmpl w:val="4FE716F8"/>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7">
    <w:nsid w:val="4FF77E67"/>
    <w:multiLevelType w:val="multilevel"/>
    <w:tmpl w:val="4FF77E67"/>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8">
    <w:nsid w:val="56123E82"/>
    <w:multiLevelType w:val="multilevel"/>
    <w:tmpl w:val="56123E82"/>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39">
    <w:nsid w:val="56246DFE"/>
    <w:multiLevelType w:val="multilevel"/>
    <w:tmpl w:val="56246DF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0">
    <w:nsid w:val="58376BC0"/>
    <w:multiLevelType w:val="multilevel"/>
    <w:tmpl w:val="58376BC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1">
    <w:nsid w:val="5B092AE3"/>
    <w:multiLevelType w:val="multilevel"/>
    <w:tmpl w:val="5B092A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2">
    <w:nsid w:val="5B542453"/>
    <w:multiLevelType w:val="singleLevel"/>
    <w:tmpl w:val="5B542453"/>
    <w:lvl w:ilvl="0" w:tentative="0">
      <w:start w:val="1"/>
      <w:numFmt w:val="decimal"/>
      <w:suff w:val="nothing"/>
      <w:lvlText w:val="（%1）"/>
      <w:lvlJc w:val="left"/>
    </w:lvl>
  </w:abstractNum>
  <w:abstractNum w:abstractNumId="43">
    <w:nsid w:val="5B564C05"/>
    <w:multiLevelType w:val="multilevel"/>
    <w:tmpl w:val="5B564C05"/>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4">
    <w:nsid w:val="5BFE60A5"/>
    <w:multiLevelType w:val="singleLevel"/>
    <w:tmpl w:val="5BFE60A5"/>
    <w:lvl w:ilvl="0" w:tentative="0">
      <w:start w:val="7"/>
      <w:numFmt w:val="decimal"/>
      <w:suff w:val="nothing"/>
      <w:lvlText w:val="（%1）"/>
      <w:lvlJc w:val="left"/>
    </w:lvl>
  </w:abstractNum>
  <w:abstractNum w:abstractNumId="45">
    <w:nsid w:val="5E117D4F"/>
    <w:multiLevelType w:val="multilevel"/>
    <w:tmpl w:val="5E117D4F"/>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6">
    <w:nsid w:val="617672B6"/>
    <w:multiLevelType w:val="singleLevel"/>
    <w:tmpl w:val="617672B6"/>
    <w:lvl w:ilvl="0" w:tentative="0">
      <w:start w:val="1"/>
      <w:numFmt w:val="decimal"/>
      <w:suff w:val="nothing"/>
      <w:lvlText w:val="（%1）"/>
      <w:lvlJc w:val="left"/>
    </w:lvl>
  </w:abstractNum>
  <w:abstractNum w:abstractNumId="47">
    <w:nsid w:val="64BA7B50"/>
    <w:multiLevelType w:val="multilevel"/>
    <w:tmpl w:val="64BA7B50"/>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8">
    <w:nsid w:val="65357891"/>
    <w:multiLevelType w:val="multilevel"/>
    <w:tmpl w:val="65357891"/>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49">
    <w:nsid w:val="66BB4DF4"/>
    <w:multiLevelType w:val="multilevel"/>
    <w:tmpl w:val="66BB4DF4"/>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0">
    <w:nsid w:val="695F22FB"/>
    <w:multiLevelType w:val="multilevel"/>
    <w:tmpl w:val="695F22F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1">
    <w:nsid w:val="697C0FE3"/>
    <w:multiLevelType w:val="multilevel"/>
    <w:tmpl w:val="697C0FE3"/>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2">
    <w:nsid w:val="6A7F4E0E"/>
    <w:multiLevelType w:val="multilevel"/>
    <w:tmpl w:val="6A7F4E0E"/>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3">
    <w:nsid w:val="6BCF222B"/>
    <w:multiLevelType w:val="multilevel"/>
    <w:tmpl w:val="6BCF222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4">
    <w:nsid w:val="720E42FC"/>
    <w:multiLevelType w:val="multilevel"/>
    <w:tmpl w:val="720E42FC"/>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5">
    <w:nsid w:val="7A327741"/>
    <w:multiLevelType w:val="singleLevel"/>
    <w:tmpl w:val="7A327741"/>
    <w:lvl w:ilvl="0" w:tentative="0">
      <w:start w:val="1"/>
      <w:numFmt w:val="decimal"/>
      <w:suff w:val="nothing"/>
      <w:lvlText w:val="（%1）"/>
      <w:lvlJc w:val="left"/>
    </w:lvl>
  </w:abstractNum>
  <w:abstractNum w:abstractNumId="56">
    <w:nsid w:val="7DDB10CB"/>
    <w:multiLevelType w:val="multilevel"/>
    <w:tmpl w:val="7DDB10CB"/>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57">
    <w:nsid w:val="7E2B1049"/>
    <w:multiLevelType w:val="multilevel"/>
    <w:tmpl w:val="7E2B1049"/>
    <w:lvl w:ilvl="0" w:tentative="0">
      <w:start w:val="1"/>
      <w:numFmt w:val="decimalEnclosedCircle"/>
      <w:lvlText w:val="%1"/>
      <w:lvlJc w:val="left"/>
      <w:pPr>
        <w:ind w:left="1549" w:hanging="420"/>
      </w:pPr>
      <w:rPr>
        <w:rFonts w:hint="default"/>
      </w:r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num w:numId="1">
    <w:abstractNumId w:val="12"/>
  </w:num>
  <w:num w:numId="2">
    <w:abstractNumId w:val="55"/>
  </w:num>
  <w:num w:numId="3">
    <w:abstractNumId w:val="27"/>
  </w:num>
  <w:num w:numId="4">
    <w:abstractNumId w:val="46"/>
  </w:num>
  <w:num w:numId="5">
    <w:abstractNumId w:val="2"/>
  </w:num>
  <w:num w:numId="6">
    <w:abstractNumId w:val="0"/>
  </w:num>
  <w:num w:numId="7">
    <w:abstractNumId w:val="1"/>
  </w:num>
  <w:num w:numId="8">
    <w:abstractNumId w:val="42"/>
  </w:num>
  <w:num w:numId="9">
    <w:abstractNumId w:val="36"/>
  </w:num>
  <w:num w:numId="10">
    <w:abstractNumId w:val="41"/>
  </w:num>
  <w:num w:numId="11">
    <w:abstractNumId w:val="19"/>
  </w:num>
  <w:num w:numId="12">
    <w:abstractNumId w:val="13"/>
  </w:num>
  <w:num w:numId="13">
    <w:abstractNumId w:val="20"/>
  </w:num>
  <w:num w:numId="14">
    <w:abstractNumId w:val="35"/>
  </w:num>
  <w:num w:numId="15">
    <w:abstractNumId w:val="43"/>
  </w:num>
  <w:num w:numId="16">
    <w:abstractNumId w:val="38"/>
  </w:num>
  <w:num w:numId="17">
    <w:abstractNumId w:val="29"/>
  </w:num>
  <w:num w:numId="18">
    <w:abstractNumId w:val="31"/>
  </w:num>
  <w:num w:numId="19">
    <w:abstractNumId w:val="14"/>
  </w:num>
  <w:num w:numId="20">
    <w:abstractNumId w:val="26"/>
  </w:num>
  <w:num w:numId="21">
    <w:abstractNumId w:val="23"/>
  </w:num>
  <w:num w:numId="22">
    <w:abstractNumId w:val="53"/>
  </w:num>
  <w:num w:numId="23">
    <w:abstractNumId w:val="24"/>
  </w:num>
  <w:num w:numId="24">
    <w:abstractNumId w:val="40"/>
  </w:num>
  <w:num w:numId="25">
    <w:abstractNumId w:val="6"/>
  </w:num>
  <w:num w:numId="26">
    <w:abstractNumId w:val="49"/>
  </w:num>
  <w:num w:numId="27">
    <w:abstractNumId w:val="3"/>
  </w:num>
  <w:num w:numId="28">
    <w:abstractNumId w:val="9"/>
  </w:num>
  <w:num w:numId="29">
    <w:abstractNumId w:val="8"/>
  </w:num>
  <w:num w:numId="30">
    <w:abstractNumId w:val="25"/>
  </w:num>
  <w:num w:numId="31">
    <w:abstractNumId w:val="16"/>
  </w:num>
  <w:num w:numId="32">
    <w:abstractNumId w:val="52"/>
  </w:num>
  <w:num w:numId="33">
    <w:abstractNumId w:val="33"/>
  </w:num>
  <w:num w:numId="34">
    <w:abstractNumId w:val="15"/>
  </w:num>
  <w:num w:numId="35">
    <w:abstractNumId w:val="7"/>
  </w:num>
  <w:num w:numId="36">
    <w:abstractNumId w:val="56"/>
  </w:num>
  <w:num w:numId="37">
    <w:abstractNumId w:val="48"/>
  </w:num>
  <w:num w:numId="38">
    <w:abstractNumId w:val="21"/>
  </w:num>
  <w:num w:numId="39">
    <w:abstractNumId w:val="11"/>
  </w:num>
  <w:num w:numId="40">
    <w:abstractNumId w:val="4"/>
  </w:num>
  <w:num w:numId="41">
    <w:abstractNumId w:val="10"/>
  </w:num>
  <w:num w:numId="42">
    <w:abstractNumId w:val="30"/>
  </w:num>
  <w:num w:numId="43">
    <w:abstractNumId w:val="34"/>
  </w:num>
  <w:num w:numId="44">
    <w:abstractNumId w:val="50"/>
  </w:num>
  <w:num w:numId="45">
    <w:abstractNumId w:val="57"/>
  </w:num>
  <w:num w:numId="46">
    <w:abstractNumId w:val="45"/>
  </w:num>
  <w:num w:numId="47">
    <w:abstractNumId w:val="17"/>
  </w:num>
  <w:num w:numId="48">
    <w:abstractNumId w:val="28"/>
  </w:num>
  <w:num w:numId="49">
    <w:abstractNumId w:val="39"/>
  </w:num>
  <w:num w:numId="50">
    <w:abstractNumId w:val="5"/>
  </w:num>
  <w:num w:numId="51">
    <w:abstractNumId w:val="47"/>
  </w:num>
  <w:num w:numId="52">
    <w:abstractNumId w:val="37"/>
  </w:num>
  <w:num w:numId="53">
    <w:abstractNumId w:val="22"/>
  </w:num>
  <w:num w:numId="54">
    <w:abstractNumId w:val="18"/>
  </w:num>
  <w:num w:numId="55">
    <w:abstractNumId w:val="54"/>
  </w:num>
  <w:num w:numId="56">
    <w:abstractNumId w:val="51"/>
  </w:num>
  <w:num w:numId="57">
    <w:abstractNumId w:val="32"/>
  </w:num>
  <w:num w:numId="5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E0ZjljZDExM2YyODdkMDQ1ZGRhYjY0YmQ5MmQifQ=="/>
  </w:docVars>
  <w:rsids>
    <w:rsidRoot w:val="7A805239"/>
    <w:rsid w:val="000015B3"/>
    <w:rsid w:val="000511AD"/>
    <w:rsid w:val="00055AAA"/>
    <w:rsid w:val="00076312"/>
    <w:rsid w:val="000811BA"/>
    <w:rsid w:val="000C6DA5"/>
    <w:rsid w:val="000D3F14"/>
    <w:rsid w:val="000D6FFB"/>
    <w:rsid w:val="000F6AA7"/>
    <w:rsid w:val="00117A19"/>
    <w:rsid w:val="001602BA"/>
    <w:rsid w:val="001727F4"/>
    <w:rsid w:val="00180262"/>
    <w:rsid w:val="001A055D"/>
    <w:rsid w:val="001E4E0D"/>
    <w:rsid w:val="00235DB4"/>
    <w:rsid w:val="002360CD"/>
    <w:rsid w:val="00243068"/>
    <w:rsid w:val="0024640E"/>
    <w:rsid w:val="00272AE3"/>
    <w:rsid w:val="002967B5"/>
    <w:rsid w:val="002C7297"/>
    <w:rsid w:val="00345474"/>
    <w:rsid w:val="00347D48"/>
    <w:rsid w:val="003617E6"/>
    <w:rsid w:val="00371635"/>
    <w:rsid w:val="003A10AB"/>
    <w:rsid w:val="003C1AC8"/>
    <w:rsid w:val="003C72AE"/>
    <w:rsid w:val="003D1BB9"/>
    <w:rsid w:val="003F46C5"/>
    <w:rsid w:val="00410453"/>
    <w:rsid w:val="0041599C"/>
    <w:rsid w:val="0042226E"/>
    <w:rsid w:val="00466DF7"/>
    <w:rsid w:val="004A5D1C"/>
    <w:rsid w:val="004B5349"/>
    <w:rsid w:val="004B634E"/>
    <w:rsid w:val="004C2C75"/>
    <w:rsid w:val="004D24BF"/>
    <w:rsid w:val="004D359B"/>
    <w:rsid w:val="004E4A28"/>
    <w:rsid w:val="004F1FCA"/>
    <w:rsid w:val="00540DD1"/>
    <w:rsid w:val="00547A44"/>
    <w:rsid w:val="005B198C"/>
    <w:rsid w:val="005D5A51"/>
    <w:rsid w:val="0061113A"/>
    <w:rsid w:val="00626B30"/>
    <w:rsid w:val="00651C83"/>
    <w:rsid w:val="00674C02"/>
    <w:rsid w:val="00676905"/>
    <w:rsid w:val="00676FE8"/>
    <w:rsid w:val="00684986"/>
    <w:rsid w:val="00686939"/>
    <w:rsid w:val="006E256B"/>
    <w:rsid w:val="006F23B8"/>
    <w:rsid w:val="00734BC7"/>
    <w:rsid w:val="00746E22"/>
    <w:rsid w:val="0076070C"/>
    <w:rsid w:val="00762743"/>
    <w:rsid w:val="007E55E2"/>
    <w:rsid w:val="007E56E0"/>
    <w:rsid w:val="007F36F1"/>
    <w:rsid w:val="008126B8"/>
    <w:rsid w:val="0084015C"/>
    <w:rsid w:val="008E1FA4"/>
    <w:rsid w:val="008E4E2E"/>
    <w:rsid w:val="008E58CB"/>
    <w:rsid w:val="008F5FF3"/>
    <w:rsid w:val="008F72AE"/>
    <w:rsid w:val="009043A4"/>
    <w:rsid w:val="00926BD8"/>
    <w:rsid w:val="009418D2"/>
    <w:rsid w:val="00950B35"/>
    <w:rsid w:val="009666BC"/>
    <w:rsid w:val="00977E0C"/>
    <w:rsid w:val="00984188"/>
    <w:rsid w:val="009A0D1E"/>
    <w:rsid w:val="009D0484"/>
    <w:rsid w:val="00A078F3"/>
    <w:rsid w:val="00A3453C"/>
    <w:rsid w:val="00A5645A"/>
    <w:rsid w:val="00AC3275"/>
    <w:rsid w:val="00AE2A01"/>
    <w:rsid w:val="00AE7936"/>
    <w:rsid w:val="00B07E25"/>
    <w:rsid w:val="00B33904"/>
    <w:rsid w:val="00B37054"/>
    <w:rsid w:val="00B51008"/>
    <w:rsid w:val="00B74889"/>
    <w:rsid w:val="00BF47F6"/>
    <w:rsid w:val="00C1549A"/>
    <w:rsid w:val="00C1628C"/>
    <w:rsid w:val="00C46351"/>
    <w:rsid w:val="00C514A7"/>
    <w:rsid w:val="00C52C3A"/>
    <w:rsid w:val="00C6409C"/>
    <w:rsid w:val="00C759F4"/>
    <w:rsid w:val="00CA5F30"/>
    <w:rsid w:val="00CA6D66"/>
    <w:rsid w:val="00CB5EAA"/>
    <w:rsid w:val="00CC6065"/>
    <w:rsid w:val="00CE2670"/>
    <w:rsid w:val="00D15742"/>
    <w:rsid w:val="00D37434"/>
    <w:rsid w:val="00D42D9C"/>
    <w:rsid w:val="00D46983"/>
    <w:rsid w:val="00D65071"/>
    <w:rsid w:val="00D82F6C"/>
    <w:rsid w:val="00DC13FC"/>
    <w:rsid w:val="00E01A89"/>
    <w:rsid w:val="00E33AA4"/>
    <w:rsid w:val="00E41597"/>
    <w:rsid w:val="00E648E0"/>
    <w:rsid w:val="00E87148"/>
    <w:rsid w:val="00E97B4E"/>
    <w:rsid w:val="00EA0E29"/>
    <w:rsid w:val="00EF1BCD"/>
    <w:rsid w:val="00EF681C"/>
    <w:rsid w:val="00F0598B"/>
    <w:rsid w:val="00F137A0"/>
    <w:rsid w:val="00F232D7"/>
    <w:rsid w:val="00F617DC"/>
    <w:rsid w:val="00F623B2"/>
    <w:rsid w:val="00F62FC5"/>
    <w:rsid w:val="00F66119"/>
    <w:rsid w:val="00F97380"/>
    <w:rsid w:val="00FB4AC8"/>
    <w:rsid w:val="00FD4142"/>
    <w:rsid w:val="00FE791A"/>
    <w:rsid w:val="0636199F"/>
    <w:rsid w:val="09C7658D"/>
    <w:rsid w:val="0C9944C6"/>
    <w:rsid w:val="0EEB0876"/>
    <w:rsid w:val="0EF6465C"/>
    <w:rsid w:val="0F9F0E07"/>
    <w:rsid w:val="1B4B0862"/>
    <w:rsid w:val="1CA91A1F"/>
    <w:rsid w:val="1DA05BB4"/>
    <w:rsid w:val="1FB8084C"/>
    <w:rsid w:val="1FD75EBD"/>
    <w:rsid w:val="275A3E37"/>
    <w:rsid w:val="285B18BF"/>
    <w:rsid w:val="2C261F9D"/>
    <w:rsid w:val="2D7D2608"/>
    <w:rsid w:val="2D9C4909"/>
    <w:rsid w:val="307B6091"/>
    <w:rsid w:val="36C52407"/>
    <w:rsid w:val="376F3A8F"/>
    <w:rsid w:val="38260C67"/>
    <w:rsid w:val="3EDD302C"/>
    <w:rsid w:val="3F911BEE"/>
    <w:rsid w:val="41291D79"/>
    <w:rsid w:val="42143451"/>
    <w:rsid w:val="499D2378"/>
    <w:rsid w:val="4D364129"/>
    <w:rsid w:val="51C85562"/>
    <w:rsid w:val="53FA23CC"/>
    <w:rsid w:val="571E050F"/>
    <w:rsid w:val="5E783A5A"/>
    <w:rsid w:val="6449313C"/>
    <w:rsid w:val="647737A4"/>
    <w:rsid w:val="66060C84"/>
    <w:rsid w:val="667D58EF"/>
    <w:rsid w:val="68422E26"/>
    <w:rsid w:val="69A72CBB"/>
    <w:rsid w:val="6E635390"/>
    <w:rsid w:val="6EEE134A"/>
    <w:rsid w:val="6FC14D32"/>
    <w:rsid w:val="71535695"/>
    <w:rsid w:val="720A62DA"/>
    <w:rsid w:val="77701DC1"/>
    <w:rsid w:val="799F7527"/>
    <w:rsid w:val="7A805239"/>
    <w:rsid w:val="7B2E07E1"/>
    <w:rsid w:val="7F927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qFormat/>
    <w:uiPriority w:val="99"/>
    <w:pPr>
      <w:jc w:val="left"/>
    </w:pPr>
  </w:style>
  <w:style w:type="paragraph" w:styleId="3">
    <w:name w:val="Body Text Indent"/>
    <w:basedOn w:val="1"/>
    <w:qFormat/>
    <w:uiPriority w:val="99"/>
    <w:pPr>
      <w:ind w:firstLine="360"/>
    </w:pPr>
    <w:rPr>
      <w:szCs w:val="20"/>
    </w:rPr>
  </w:style>
  <w:style w:type="paragraph" w:styleId="4">
    <w:name w:val="Balloon Text"/>
    <w:basedOn w:val="1"/>
    <w:link w:val="24"/>
    <w:qFormat/>
    <w:uiPriority w:val="99"/>
    <w:pPr>
      <w:spacing w:after="0" w:line="240" w:lineRule="auto"/>
    </w:pPr>
    <w:rPr>
      <w:sz w:val="18"/>
      <w:szCs w:val="18"/>
    </w:rPr>
  </w:style>
  <w:style w:type="paragraph" w:styleId="5">
    <w:name w:val="footer"/>
    <w:basedOn w:val="1"/>
    <w:link w:val="28"/>
    <w:qFormat/>
    <w:uiPriority w:val="99"/>
    <w:pPr>
      <w:tabs>
        <w:tab w:val="center" w:pos="4153"/>
        <w:tab w:val="right" w:pos="8306"/>
      </w:tabs>
      <w:snapToGrid w:val="0"/>
      <w:jc w:val="left"/>
    </w:pPr>
    <w:rPr>
      <w:sz w:val="18"/>
      <w:szCs w:val="18"/>
    </w:rPr>
  </w:style>
  <w:style w:type="paragraph" w:styleId="6">
    <w:name w:val="header"/>
    <w:basedOn w:val="1"/>
    <w:link w:val="23"/>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Normal (Web)"/>
    <w:basedOn w:val="1"/>
    <w:qFormat/>
    <w:uiPriority w:val="0"/>
    <w:pPr>
      <w:spacing w:before="100" w:beforeAutospacing="1" w:after="100" w:afterAutospacing="1"/>
      <w:jc w:val="left"/>
    </w:pPr>
    <w:rPr>
      <w:rFonts w:hAnsi="宋体" w:cs="宋体"/>
      <w:sz w:val="24"/>
    </w:rPr>
  </w:style>
  <w:style w:type="paragraph" w:styleId="8">
    <w:name w:val="Title"/>
    <w:basedOn w:val="1"/>
    <w:next w:val="1"/>
    <w:link w:val="22"/>
    <w:qFormat/>
    <w:uiPriority w:val="0"/>
    <w:pPr>
      <w:spacing w:before="240" w:after="60" w:line="240" w:lineRule="auto"/>
      <w:jc w:val="center"/>
      <w:outlineLvl w:val="0"/>
    </w:pPr>
    <w:rPr>
      <w:rFonts w:ascii="Cambria" w:hAnsi="Cambria"/>
      <w:b/>
      <w:bCs/>
      <w:kern w:val="0"/>
      <w:sz w:val="32"/>
      <w:szCs w:val="32"/>
      <w:lang w:val="zh-CN"/>
    </w:rPr>
  </w:style>
  <w:style w:type="paragraph" w:styleId="9">
    <w:name w:val="annotation subject"/>
    <w:basedOn w:val="2"/>
    <w:next w:val="2"/>
    <w:link w:val="26"/>
    <w:qFormat/>
    <w:uiPriority w:val="99"/>
    <w:rPr>
      <w:b/>
      <w:bCs/>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20"/>
    <w:rPr>
      <w:i/>
    </w:rPr>
  </w:style>
  <w:style w:type="character" w:styleId="14">
    <w:name w:val="annotation reference"/>
    <w:basedOn w:val="12"/>
    <w:qFormat/>
    <w:uiPriority w:val="99"/>
    <w:rPr>
      <w:sz w:val="16"/>
      <w:szCs w:val="16"/>
    </w:rPr>
  </w:style>
  <w:style w:type="paragraph" w:customStyle="1" w:styleId="15">
    <w:name w:val="条款标题"/>
    <w:basedOn w:val="16"/>
    <w:qFormat/>
    <w:uiPriority w:val="0"/>
  </w:style>
  <w:style w:type="paragraph" w:customStyle="1" w:styleId="16">
    <w:name w:val="条款正文"/>
    <w:basedOn w:val="1"/>
    <w:qFormat/>
    <w:uiPriority w:val="0"/>
    <w:pPr>
      <w:adjustRightInd w:val="0"/>
      <w:snapToGrid w:val="0"/>
      <w:ind w:left="840" w:leftChars="400" w:firstLine="420" w:firstLineChars="200"/>
    </w:pPr>
    <w:rPr>
      <w:rFonts w:ascii="Times New Roman" w:hAnsi="Times New Roman"/>
      <w:szCs w:val="24"/>
    </w:rPr>
  </w:style>
  <w:style w:type="paragraph" w:customStyle="1" w:styleId="17">
    <w:name w:val="Default"/>
    <w:qFormat/>
    <w:uiPriority w:val="0"/>
    <w:pPr>
      <w:widowControl w:val="0"/>
      <w:autoSpaceDE w:val="0"/>
      <w:autoSpaceDN w:val="0"/>
      <w:adjustRightInd w:val="0"/>
      <w:spacing w:after="160" w:line="259" w:lineRule="auto"/>
    </w:pPr>
    <w:rPr>
      <w:rFonts w:ascii="宋体" w:hAnsi="宋体" w:eastAsia="宋体" w:cs="宋体"/>
      <w:color w:val="000000"/>
      <w:sz w:val="24"/>
      <w:szCs w:val="24"/>
      <w:lang w:val="en-US" w:eastAsia="zh-CN" w:bidi="ar-SA"/>
    </w:rPr>
  </w:style>
  <w:style w:type="character" w:customStyle="1" w:styleId="18">
    <w:name w:val="apple-style-span"/>
    <w:basedOn w:val="12"/>
    <w:qFormat/>
    <w:uiPriority w:val="0"/>
  </w:style>
  <w:style w:type="paragraph" w:customStyle="1" w:styleId="19">
    <w:name w:val="列出段落2"/>
    <w:basedOn w:val="1"/>
    <w:qFormat/>
    <w:uiPriority w:val="34"/>
    <w:pPr>
      <w:spacing w:after="0" w:line="240" w:lineRule="auto"/>
      <w:ind w:firstLine="420" w:firstLineChars="200"/>
    </w:pPr>
  </w:style>
  <w:style w:type="paragraph" w:customStyle="1" w:styleId="20">
    <w:name w:val="列出段落1"/>
    <w:basedOn w:val="1"/>
    <w:qFormat/>
    <w:uiPriority w:val="34"/>
    <w:pPr>
      <w:ind w:firstLine="420" w:firstLineChars="200"/>
    </w:pPr>
  </w:style>
  <w:style w:type="paragraph" w:customStyle="1" w:styleId="21">
    <w:name w:val="List Paragraph2"/>
    <w:basedOn w:val="1"/>
    <w:qFormat/>
    <w:uiPriority w:val="99"/>
    <w:pPr>
      <w:spacing w:after="200" w:line="276" w:lineRule="auto"/>
      <w:ind w:firstLine="420" w:firstLineChars="200"/>
    </w:pPr>
  </w:style>
  <w:style w:type="character" w:customStyle="1" w:styleId="22">
    <w:name w:val="标题 Char"/>
    <w:basedOn w:val="12"/>
    <w:link w:val="8"/>
    <w:qFormat/>
    <w:uiPriority w:val="0"/>
    <w:rPr>
      <w:rFonts w:ascii="Cambria" w:hAnsi="Cambria"/>
      <w:b/>
      <w:bCs/>
      <w:kern w:val="0"/>
      <w:sz w:val="32"/>
      <w:szCs w:val="32"/>
      <w:lang w:val="zh-CN"/>
    </w:rPr>
  </w:style>
  <w:style w:type="character" w:customStyle="1" w:styleId="23">
    <w:name w:val="页眉 Char"/>
    <w:basedOn w:val="12"/>
    <w:link w:val="6"/>
    <w:qFormat/>
    <w:uiPriority w:val="99"/>
    <w:rPr>
      <w:rFonts w:ascii="Calibri" w:hAnsi="Calibri" w:eastAsia="宋体" w:cs="Times New Roman"/>
      <w:kern w:val="2"/>
      <w:sz w:val="18"/>
      <w:szCs w:val="18"/>
    </w:rPr>
  </w:style>
  <w:style w:type="character" w:customStyle="1" w:styleId="24">
    <w:name w:val="批注框文本 Char"/>
    <w:basedOn w:val="12"/>
    <w:link w:val="4"/>
    <w:qFormat/>
    <w:uiPriority w:val="99"/>
    <w:rPr>
      <w:rFonts w:ascii="Calibri" w:hAnsi="Calibri" w:eastAsia="宋体" w:cs="Times New Roman"/>
      <w:kern w:val="2"/>
      <w:sz w:val="18"/>
      <w:szCs w:val="18"/>
    </w:rPr>
  </w:style>
  <w:style w:type="character" w:customStyle="1" w:styleId="25">
    <w:name w:val="批注文字 Char"/>
    <w:basedOn w:val="12"/>
    <w:link w:val="2"/>
    <w:qFormat/>
    <w:uiPriority w:val="99"/>
    <w:rPr>
      <w:rFonts w:ascii="Calibri" w:hAnsi="Calibri" w:eastAsia="宋体" w:cs="Times New Roman"/>
      <w:kern w:val="2"/>
      <w:sz w:val="21"/>
      <w:szCs w:val="22"/>
    </w:rPr>
  </w:style>
  <w:style w:type="character" w:customStyle="1" w:styleId="26">
    <w:name w:val="批注主题 Char"/>
    <w:basedOn w:val="25"/>
    <w:link w:val="9"/>
    <w:qFormat/>
    <w:uiPriority w:val="99"/>
    <w:rPr>
      <w:rFonts w:ascii="Calibri" w:hAnsi="Calibri" w:eastAsia="宋体" w:cs="Times New Roman"/>
      <w:b/>
      <w:bCs/>
      <w:kern w:val="2"/>
      <w:sz w:val="21"/>
      <w:szCs w:val="22"/>
    </w:rPr>
  </w:style>
  <w:style w:type="paragraph" w:customStyle="1" w:styleId="27">
    <w:name w:val="修订1"/>
    <w:hidden/>
    <w:semiHidden/>
    <w:qFormat/>
    <w:uiPriority w:val="99"/>
    <w:rPr>
      <w:rFonts w:ascii="Calibri" w:hAnsi="Calibri" w:eastAsia="宋体" w:cs="Times New Roman"/>
      <w:kern w:val="2"/>
      <w:sz w:val="21"/>
      <w:szCs w:val="22"/>
      <w:lang w:val="en-US" w:eastAsia="zh-CN" w:bidi="ar-SA"/>
    </w:rPr>
  </w:style>
  <w:style w:type="character" w:customStyle="1" w:styleId="28">
    <w:name w:val="页脚 Char"/>
    <w:basedOn w:val="12"/>
    <w:link w:val="5"/>
    <w:qFormat/>
    <w:uiPriority w:val="99"/>
    <w:rPr>
      <w:rFonts w:ascii="Calibri" w:hAnsi="Calibri"/>
      <w:kern w:val="2"/>
      <w:sz w:val="18"/>
      <w:szCs w:val="18"/>
    </w:rPr>
  </w:style>
  <w:style w:type="paragraph" w:customStyle="1" w:styleId="29">
    <w:name w:val="_Style 2"/>
    <w:basedOn w:val="1"/>
    <w:qFormat/>
    <w:uiPriority w:val="34"/>
    <w:pPr>
      <w:ind w:firstLine="420" w:firstLineChars="200"/>
    </w:pPr>
  </w:style>
  <w:style w:type="paragraph" w:customStyle="1" w:styleId="30">
    <w:name w:val="列表段落1"/>
    <w:basedOn w:val="1"/>
    <w:qFormat/>
    <w:uiPriority w:val="34"/>
    <w:pPr>
      <w:widowControl/>
      <w:spacing w:after="0" w:line="240" w:lineRule="auto"/>
      <w:ind w:left="720"/>
      <w:jc w:val="left"/>
    </w:pPr>
    <w:rPr>
      <w:rFonts w:ascii="宋体" w:hAnsi="宋体" w:cs="宋体"/>
      <w:kern w:val="0"/>
      <w:sz w:val="24"/>
      <w:szCs w:val="24"/>
    </w:rPr>
  </w:style>
  <w:style w:type="paragraph" w:customStyle="1" w:styleId="31">
    <w:name w:val="_Style 1"/>
    <w:basedOn w:val="1"/>
    <w:qFormat/>
    <w:uiPriority w:val="34"/>
    <w:pPr>
      <w:widowControl/>
      <w:spacing w:after="0" w:line="240" w:lineRule="auto"/>
      <w:ind w:firstLine="420"/>
    </w:pPr>
    <w:rPr>
      <w:rFonts w:cs="Calibri"/>
      <w:kern w:val="0"/>
      <w:szCs w:val="21"/>
    </w:rPr>
  </w:style>
  <w:style w:type="paragraph" w:customStyle="1" w:styleId="32">
    <w:name w:val="列出段落3"/>
    <w:basedOn w:val="1"/>
    <w:qFormat/>
    <w:uiPriority w:val="99"/>
    <w:pPr>
      <w:ind w:firstLine="420" w:firstLineChars="200"/>
    </w:pPr>
  </w:style>
  <w:style w:type="paragraph" w:customStyle="1" w:styleId="33">
    <w:name w:val="Table Paragraph"/>
    <w:basedOn w:val="1"/>
    <w:qFormat/>
    <w:uiPriority w:val="1"/>
    <w:pPr>
      <w:spacing w:before="22"/>
      <w:ind w:left="112"/>
    </w:pPr>
    <w:rPr>
      <w:rFonts w:ascii="仿宋" w:hAnsi="仿宋" w:eastAsia="仿宋" w:cs="仿宋"/>
      <w:lang w:val="zh-CN" w:bidi="zh-CN"/>
    </w:rPr>
  </w:style>
  <w:style w:type="paragraph" w:customStyle="1" w:styleId="34">
    <w:name w:val="列出段落4"/>
    <w:basedOn w:val="1"/>
    <w:unhideWhenUsed/>
    <w:qFormat/>
    <w:uiPriority w:val="99"/>
    <w:pPr>
      <w:ind w:firstLine="420" w:firstLineChars="200"/>
    </w:pPr>
  </w:style>
  <w:style w:type="paragraph" w:customStyle="1" w:styleId="35">
    <w:name w:val="Revision"/>
    <w:hidden/>
    <w:semiHidden/>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79F685-A2EB-4714-AE1A-1535409C366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49</Pages>
  <Words>31098</Words>
  <Characters>32213</Characters>
  <Lines>244</Lines>
  <Paragraphs>68</Paragraphs>
  <TotalTime>40</TotalTime>
  <ScaleCrop>false</ScaleCrop>
  <LinksUpToDate>false</LinksUpToDate>
  <CharactersWithSpaces>32531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2021-01-06T01:53:00Z</dcterms:created>
  <dc:creator>吴伟宁</dc:creator>
  <cp:lastModifiedBy>Zixuan Shen</cp:lastModifiedBy>
  <dcterms:modified xsi:type="dcterms:W3CDTF">2022-05-25T01:54:44Z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8B69C94725964DDEBE63BBE426D71B44</vt:lpwstr>
  </property>
</Properties>
</file>