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theme="minorBidi"/>
          <w:b/>
          <w:color w:val="auto"/>
          <w:kern w:val="2"/>
          <w:sz w:val="28"/>
          <w:szCs w:val="28"/>
          <w:highlight w:val="none"/>
        </w:rPr>
      </w:pPr>
      <w:r>
        <w:rPr>
          <w:rFonts w:hint="eastAsia" w:hAnsi="宋体" w:cstheme="minorBidi"/>
          <w:b/>
          <w:color w:val="auto"/>
          <w:kern w:val="2"/>
          <w:sz w:val="28"/>
          <w:szCs w:val="28"/>
          <w:highlight w:val="none"/>
        </w:rPr>
        <w:t>华农财产保险股份有限公司</w:t>
      </w:r>
    </w:p>
    <w:p>
      <w:pPr>
        <w:pStyle w:val="6"/>
        <w:adjustRightInd w:val="0"/>
        <w:snapToGrid w:val="0"/>
        <w:spacing w:beforeAutospacing="0" w:after="156" w:afterLines="50" w:afterAutospacing="0"/>
        <w:jc w:val="center"/>
        <w:outlineLvl w:val="1"/>
        <w:rPr>
          <w:rFonts w:hint="eastAsia" w:cstheme="minorBidi"/>
          <w:b/>
          <w:color w:val="auto"/>
          <w:kern w:val="2"/>
          <w:sz w:val="28"/>
          <w:szCs w:val="28"/>
          <w:highlight w:val="none"/>
        </w:rPr>
      </w:pPr>
      <w:r>
        <w:rPr>
          <w:rFonts w:hint="eastAsia" w:cstheme="minorBidi"/>
          <w:b/>
          <w:color w:val="auto"/>
          <w:kern w:val="2"/>
          <w:sz w:val="28"/>
          <w:szCs w:val="28"/>
          <w:highlight w:val="none"/>
        </w:rPr>
        <w:t>学生、幼儿意外伤害保险附加重大疾病保险条款</w:t>
      </w:r>
    </w:p>
    <w:p>
      <w:pPr>
        <w:pStyle w:val="6"/>
        <w:adjustRightInd w:val="0"/>
        <w:snapToGrid w:val="0"/>
        <w:spacing w:beforeAutospacing="0" w:after="156" w:afterLines="50" w:afterAutospacing="0"/>
        <w:jc w:val="center"/>
        <w:outlineLvl w:val="1"/>
        <w:rPr>
          <w:rFonts w:hint="eastAsia" w:cstheme="minorBidi"/>
          <w:b/>
          <w:color w:val="auto"/>
          <w:kern w:val="2"/>
          <w:sz w:val="28"/>
          <w:szCs w:val="28"/>
          <w:highlight w:val="none"/>
        </w:rPr>
      </w:pPr>
      <w:r>
        <w:rPr>
          <w:rFonts w:hint="eastAsia" w:cstheme="minorBidi"/>
          <w:b/>
          <w:color w:val="auto"/>
          <w:kern w:val="2"/>
          <w:sz w:val="28"/>
          <w:szCs w:val="28"/>
          <w:highlight w:val="none"/>
        </w:rPr>
        <w:t>注册编号：C00010132622021042044212</w:t>
      </w:r>
      <w:bookmarkStart w:id="8" w:name="_GoBack"/>
      <w:bookmarkEnd w:id="8"/>
    </w:p>
    <w:p>
      <w:pPr>
        <w:pStyle w:val="6"/>
        <w:adjustRightInd w:val="0"/>
        <w:snapToGrid w:val="0"/>
        <w:spacing w:beforeAutospacing="0" w:after="156" w:afterLines="50" w:afterAutospacing="0"/>
        <w:ind w:firstLine="420" w:firstLineChars="200"/>
        <w:jc w:val="both"/>
        <w:rPr>
          <w:color w:val="auto"/>
          <w:kern w:val="2"/>
          <w:sz w:val="21"/>
          <w:szCs w:val="21"/>
          <w:highlight w:val="none"/>
        </w:rPr>
      </w:pPr>
    </w:p>
    <w:p>
      <w:pPr>
        <w:pStyle w:val="6"/>
        <w:adjustRightInd w:val="0"/>
        <w:snapToGrid w:val="0"/>
        <w:spacing w:beforeAutospacing="0" w:after="156" w:afterLines="50" w:afterAutospacing="0"/>
        <w:jc w:val="center"/>
        <w:rPr>
          <w:b/>
          <w:color w:val="auto"/>
          <w:kern w:val="2"/>
          <w:sz w:val="21"/>
          <w:szCs w:val="21"/>
          <w:highlight w:val="none"/>
        </w:rPr>
      </w:pPr>
      <w:r>
        <w:rPr>
          <w:rFonts w:hint="eastAsia"/>
          <w:b/>
          <w:color w:val="auto"/>
          <w:kern w:val="2"/>
          <w:sz w:val="21"/>
          <w:szCs w:val="21"/>
          <w:highlight w:val="none"/>
        </w:rPr>
        <w:t>总则</w:t>
      </w:r>
    </w:p>
    <w:p>
      <w:pPr>
        <w:spacing w:after="156" w:afterLines="50"/>
        <w:ind w:firstLine="422"/>
        <w:rPr>
          <w:rFonts w:hAnsi="宋体" w:cs="宋体"/>
          <w:color w:val="auto"/>
          <w:kern w:val="2"/>
          <w:sz w:val="21"/>
          <w:szCs w:val="21"/>
          <w:highlight w:val="none"/>
        </w:rPr>
      </w:pPr>
      <w:r>
        <w:rPr>
          <w:rFonts w:hint="eastAsia" w:cs="Arial"/>
          <w:b/>
          <w:color w:val="auto"/>
          <w:kern w:val="2"/>
          <w:sz w:val="21"/>
          <w:szCs w:val="21"/>
          <w:highlight w:val="none"/>
        </w:rPr>
        <w:t xml:space="preserve">第一条  </w:t>
      </w:r>
      <w:r>
        <w:rPr>
          <w:rFonts w:hint="eastAsia" w:hAnsi="宋体" w:cs="宋体"/>
          <w:color w:val="auto"/>
          <w:kern w:val="2"/>
          <w:sz w:val="21"/>
          <w:szCs w:val="21"/>
          <w:highlight w:val="none"/>
        </w:rPr>
        <w:t>在投保华农财产保险股份有限公司</w:t>
      </w:r>
      <w:r>
        <w:rPr>
          <w:rFonts w:hint="eastAsia"/>
          <w:color w:val="auto"/>
          <w:kern w:val="2"/>
          <w:sz w:val="21"/>
          <w:szCs w:val="21"/>
          <w:highlight w:val="none"/>
        </w:rPr>
        <w:t>学生、幼儿意外伤害</w:t>
      </w:r>
      <w:r>
        <w:rPr>
          <w:rFonts w:hint="eastAsia" w:hAnsi="宋体" w:cs="宋体"/>
          <w:color w:val="auto"/>
          <w:kern w:val="2"/>
          <w:sz w:val="21"/>
          <w:szCs w:val="21"/>
          <w:highlight w:val="none"/>
        </w:rPr>
        <w:t>类保险合同（以下简称“主险合同”）的基础上，投保人可以投保本附加险合同。主险合同效力终止，本附加险合同效力亦同时终止；主险合同无效，本附加险合同亦无效。本附加险合同未约定事项，以主险合同为准；主险合同与本附加险合同相抵触之处，以本附加险合同为准。凡涉及本附加险合同的约定，均应采用书面形式。</w:t>
      </w:r>
    </w:p>
    <w:p>
      <w:pPr>
        <w:spacing w:after="156" w:afterLines="50"/>
        <w:ind w:firstLine="422"/>
        <w:rPr>
          <w:rFonts w:hAnsi="宋体" w:cs="宋体"/>
          <w:color w:val="auto"/>
          <w:sz w:val="21"/>
          <w:szCs w:val="21"/>
          <w:highlight w:val="none"/>
        </w:rPr>
      </w:pPr>
      <w:r>
        <w:rPr>
          <w:rFonts w:hint="eastAsia" w:hAnsi="宋体" w:cs="宋体"/>
          <w:b/>
          <w:bCs/>
          <w:color w:val="auto"/>
          <w:kern w:val="2"/>
          <w:sz w:val="21"/>
          <w:szCs w:val="21"/>
          <w:highlight w:val="none"/>
        </w:rPr>
        <w:t xml:space="preserve">第二条  </w:t>
      </w:r>
      <w:r>
        <w:rPr>
          <w:rFonts w:hint="eastAsia" w:hAnsi="宋体" w:cs="宋体"/>
          <w:color w:val="auto"/>
          <w:sz w:val="21"/>
          <w:szCs w:val="21"/>
          <w:highlight w:val="none"/>
        </w:rPr>
        <w:t>本附加险合同由保险单及所附条款、主险合同条款、投保单、合法有效的声明、批注、附贴批单及其他有关书面文件构成。凡涉及本附加险合同的约定，均应采用书面形式。</w:t>
      </w:r>
    </w:p>
    <w:p>
      <w:pPr>
        <w:spacing w:after="156" w:afterLines="50"/>
        <w:ind w:firstLine="422" w:firstLineChars="200"/>
        <w:rPr>
          <w:rFonts w:hAnsi="宋体" w:cs="宋体"/>
          <w:color w:val="auto"/>
          <w:kern w:val="2"/>
          <w:sz w:val="21"/>
          <w:szCs w:val="21"/>
          <w:highlight w:val="none"/>
        </w:rPr>
      </w:pPr>
      <w:r>
        <w:rPr>
          <w:rFonts w:hint="eastAsia" w:hAnsi="宋体" w:cs="宋体"/>
          <w:b/>
          <w:color w:val="auto"/>
          <w:kern w:val="2"/>
          <w:sz w:val="21"/>
          <w:szCs w:val="21"/>
          <w:highlight w:val="none"/>
          <w:lang w:bidi="ar"/>
        </w:rPr>
        <w:t xml:space="preserve">第三条  </w:t>
      </w:r>
      <w:r>
        <w:rPr>
          <w:rFonts w:hint="eastAsia" w:hAnsi="宋体" w:cs="宋体"/>
          <w:color w:val="auto"/>
          <w:kern w:val="2"/>
          <w:sz w:val="21"/>
          <w:szCs w:val="21"/>
          <w:highlight w:val="none"/>
        </w:rPr>
        <w:t>本</w:t>
      </w:r>
      <w:r>
        <w:rPr>
          <w:rFonts w:hint="eastAsia" w:hAnsi="宋体" w:cs="宋体"/>
          <w:color w:val="auto"/>
          <w:kern w:val="2"/>
          <w:sz w:val="21"/>
          <w:szCs w:val="21"/>
          <w:highlight w:val="none"/>
          <w:lang w:bidi="ar"/>
        </w:rPr>
        <w:t>附加险合同的被保险人为主险合同的被保险人。</w:t>
      </w:r>
    </w:p>
    <w:p>
      <w:pPr>
        <w:spacing w:after="156" w:afterLines="50"/>
        <w:ind w:firstLine="422" w:firstLineChars="200"/>
        <w:rPr>
          <w:rFonts w:hAnsi="宋体" w:cs="宋体"/>
          <w:color w:val="auto"/>
          <w:kern w:val="2"/>
          <w:sz w:val="21"/>
          <w:szCs w:val="21"/>
          <w:highlight w:val="none"/>
        </w:rPr>
      </w:pPr>
      <w:r>
        <w:rPr>
          <w:rFonts w:hint="eastAsia" w:hAnsi="宋体" w:cs="宋体"/>
          <w:b/>
          <w:color w:val="auto"/>
          <w:kern w:val="2"/>
          <w:sz w:val="21"/>
          <w:szCs w:val="21"/>
          <w:highlight w:val="none"/>
          <w:lang w:bidi="ar"/>
        </w:rPr>
        <w:t xml:space="preserve">第四条  </w:t>
      </w:r>
      <w:r>
        <w:rPr>
          <w:rFonts w:hint="eastAsia" w:hAnsi="宋体" w:cs="宋体"/>
          <w:color w:val="auto"/>
          <w:kern w:val="2"/>
          <w:sz w:val="21"/>
          <w:szCs w:val="21"/>
          <w:highlight w:val="none"/>
        </w:rPr>
        <w:t>本附加险合同的投保人为主险合同的投保人。</w:t>
      </w:r>
    </w:p>
    <w:p>
      <w:pPr>
        <w:pStyle w:val="6"/>
        <w:snapToGrid w:val="0"/>
        <w:spacing w:after="156" w:afterLines="50" w:afterAutospacing="0"/>
        <w:ind w:firstLine="422" w:firstLineChars="200"/>
        <w:jc w:val="both"/>
        <w:rPr>
          <w:color w:val="auto"/>
          <w:kern w:val="2"/>
          <w:sz w:val="21"/>
          <w:highlight w:val="none"/>
        </w:rPr>
      </w:pPr>
      <w:r>
        <w:rPr>
          <w:rFonts w:hint="eastAsia"/>
          <w:b/>
          <w:bCs/>
          <w:color w:val="auto"/>
          <w:kern w:val="2"/>
          <w:sz w:val="21"/>
          <w:highlight w:val="none"/>
        </w:rPr>
        <w:t xml:space="preserve">第五条 </w:t>
      </w:r>
      <w:r>
        <w:rPr>
          <w:rFonts w:hint="eastAsia"/>
          <w:color w:val="auto"/>
          <w:kern w:val="2"/>
          <w:sz w:val="21"/>
          <w:highlight w:val="none"/>
        </w:rPr>
        <w:t xml:space="preserve"> 除另有约定外，本附加险合同的</w:t>
      </w:r>
      <w:r>
        <w:rPr>
          <w:rFonts w:hint="eastAsia"/>
          <w:color w:val="auto"/>
          <w:spacing w:val="-6"/>
          <w:kern w:val="2"/>
          <w:sz w:val="21"/>
          <w:highlight w:val="none"/>
        </w:rPr>
        <w:t>保险金的受益人为被保险人本人</w:t>
      </w:r>
      <w:r>
        <w:rPr>
          <w:rFonts w:hint="eastAsia"/>
          <w:color w:val="auto"/>
          <w:kern w:val="2"/>
          <w:sz w:val="21"/>
          <w:highlight w:val="none"/>
        </w:rPr>
        <w:t>。</w:t>
      </w:r>
    </w:p>
    <w:p>
      <w:pPr>
        <w:pStyle w:val="6"/>
        <w:adjustRightInd w:val="0"/>
        <w:snapToGrid w:val="0"/>
        <w:spacing w:beforeAutospacing="0" w:after="156" w:afterLines="50" w:afterAutospacing="0"/>
        <w:ind w:firstLine="422" w:firstLineChars="200"/>
        <w:jc w:val="center"/>
        <w:rPr>
          <w:b/>
          <w:color w:val="auto"/>
          <w:kern w:val="2"/>
          <w:sz w:val="21"/>
          <w:szCs w:val="21"/>
          <w:highlight w:val="none"/>
        </w:rPr>
      </w:pPr>
    </w:p>
    <w:p>
      <w:pPr>
        <w:pStyle w:val="6"/>
        <w:adjustRightInd w:val="0"/>
        <w:snapToGrid w:val="0"/>
        <w:spacing w:beforeAutospacing="0" w:after="156" w:afterLines="50" w:afterAutospacing="0"/>
        <w:jc w:val="center"/>
        <w:rPr>
          <w:b/>
          <w:color w:val="auto"/>
          <w:kern w:val="2"/>
          <w:sz w:val="21"/>
          <w:szCs w:val="21"/>
          <w:highlight w:val="none"/>
        </w:rPr>
      </w:pPr>
      <w:r>
        <w:rPr>
          <w:rFonts w:hint="eastAsia"/>
          <w:b/>
          <w:color w:val="auto"/>
          <w:kern w:val="2"/>
          <w:sz w:val="21"/>
          <w:szCs w:val="21"/>
          <w:highlight w:val="none"/>
        </w:rPr>
        <w:t>保险责任</w:t>
      </w:r>
    </w:p>
    <w:p>
      <w:pPr>
        <w:pStyle w:val="6"/>
        <w:widowControl/>
        <w:adjustRightInd w:val="0"/>
        <w:snapToGrid w:val="0"/>
        <w:spacing w:after="156" w:afterLines="50" w:afterAutospacing="0"/>
        <w:ind w:firstLine="422" w:firstLineChars="200"/>
        <w:jc w:val="both"/>
        <w:rPr>
          <w:rFonts w:cs="Arial"/>
          <w:color w:val="auto"/>
          <w:kern w:val="2"/>
          <w:sz w:val="21"/>
          <w:szCs w:val="21"/>
          <w:highlight w:val="none"/>
        </w:rPr>
      </w:pPr>
      <w:r>
        <w:rPr>
          <w:rFonts w:hint="eastAsia"/>
          <w:b/>
          <w:color w:val="auto"/>
          <w:kern w:val="2"/>
          <w:sz w:val="21"/>
          <w:szCs w:val="21"/>
          <w:highlight w:val="none"/>
        </w:rPr>
        <w:t xml:space="preserve">第六条  </w:t>
      </w:r>
      <w:bookmarkStart w:id="0" w:name="_Hlk27475345"/>
      <w:r>
        <w:rPr>
          <w:rFonts w:hint="eastAsia" w:cs="Arial"/>
          <w:color w:val="auto"/>
          <w:kern w:val="2"/>
          <w:sz w:val="21"/>
          <w:szCs w:val="21"/>
          <w:highlight w:val="none"/>
        </w:rPr>
        <w:t>在本附加险合同保险期间内，保险人（释义1）承担下列保险责任：</w:t>
      </w:r>
    </w:p>
    <w:p>
      <w:pPr>
        <w:pStyle w:val="6"/>
        <w:widowControl/>
        <w:adjustRightInd w:val="0"/>
        <w:snapToGrid w:val="0"/>
        <w:spacing w:after="156" w:afterLines="50" w:afterAutospacing="0"/>
        <w:ind w:firstLine="420" w:firstLineChars="200"/>
        <w:jc w:val="both"/>
        <w:rPr>
          <w:rFonts w:cs="Arial"/>
          <w:color w:val="auto"/>
          <w:kern w:val="2"/>
          <w:sz w:val="21"/>
          <w:szCs w:val="21"/>
          <w:highlight w:val="none"/>
        </w:rPr>
      </w:pPr>
      <w:r>
        <w:rPr>
          <w:rFonts w:hint="eastAsia" w:cs="Arial"/>
          <w:color w:val="auto"/>
          <w:kern w:val="2"/>
          <w:sz w:val="21"/>
          <w:szCs w:val="21"/>
          <w:highlight w:val="none"/>
        </w:rPr>
        <w:t>被保险人</w:t>
      </w:r>
      <w:r>
        <w:rPr>
          <w:rFonts w:hint="eastAsia"/>
          <w:color w:val="auto"/>
          <w:sz w:val="21"/>
          <w:szCs w:val="21"/>
          <w:highlight w:val="none"/>
        </w:rPr>
        <w:t>自本</w:t>
      </w:r>
      <w:r>
        <w:rPr>
          <w:rFonts w:hint="eastAsia" w:cs="Arial"/>
          <w:color w:val="auto"/>
          <w:kern w:val="2"/>
          <w:sz w:val="21"/>
          <w:szCs w:val="21"/>
          <w:highlight w:val="none"/>
        </w:rPr>
        <w:t>附加险</w:t>
      </w:r>
      <w:r>
        <w:rPr>
          <w:rFonts w:hint="eastAsia"/>
          <w:color w:val="auto"/>
          <w:sz w:val="21"/>
          <w:szCs w:val="21"/>
          <w:highlight w:val="none"/>
        </w:rPr>
        <w:t>合同生效之日起，</w:t>
      </w:r>
      <w:r>
        <w:rPr>
          <w:rFonts w:hint="eastAsia"/>
          <w:b/>
          <w:bCs/>
          <w:color w:val="auto"/>
          <w:sz w:val="21"/>
          <w:szCs w:val="21"/>
          <w:highlight w:val="none"/>
        </w:rPr>
        <w:t>在本附加险合同约定的等待期</w:t>
      </w:r>
      <w:r>
        <w:rPr>
          <w:rFonts w:hint="eastAsia" w:cs="Arial"/>
          <w:b/>
          <w:bCs w:val="0"/>
          <w:color w:val="auto"/>
          <w:kern w:val="2"/>
          <w:sz w:val="21"/>
          <w:szCs w:val="21"/>
          <w:highlight w:val="none"/>
        </w:rPr>
        <w:t>（释义</w:t>
      </w:r>
      <w:r>
        <w:rPr>
          <w:rFonts w:cs="Arial"/>
          <w:b/>
          <w:bCs w:val="0"/>
          <w:color w:val="auto"/>
          <w:kern w:val="2"/>
          <w:sz w:val="21"/>
          <w:szCs w:val="21"/>
          <w:highlight w:val="none"/>
        </w:rPr>
        <w:t>2</w:t>
      </w:r>
      <w:r>
        <w:rPr>
          <w:rFonts w:hint="eastAsia" w:cs="Arial"/>
          <w:b/>
          <w:color w:val="auto"/>
          <w:kern w:val="2"/>
          <w:sz w:val="21"/>
          <w:szCs w:val="21"/>
          <w:highlight w:val="none"/>
        </w:rPr>
        <w:t>，</w:t>
      </w:r>
      <w:r>
        <w:rPr>
          <w:rFonts w:hint="eastAsia" w:cs="Arial"/>
          <w:b/>
          <w:bCs/>
          <w:color w:val="auto"/>
          <w:kern w:val="2"/>
          <w:sz w:val="21"/>
          <w:szCs w:val="21"/>
          <w:highlight w:val="none"/>
        </w:rPr>
        <w:t>最高不超过180天，</w:t>
      </w:r>
      <w:r>
        <w:rPr>
          <w:rFonts w:hint="eastAsia"/>
          <w:b/>
          <w:bCs/>
          <w:color w:val="auto"/>
          <w:sz w:val="21"/>
          <w:szCs w:val="21"/>
          <w:highlight w:val="none"/>
        </w:rPr>
        <w:t>续保者不受等待期限制</w:t>
      </w:r>
      <w:r>
        <w:rPr>
          <w:rFonts w:hint="eastAsia" w:cs="Arial"/>
          <w:b/>
          <w:bCs/>
          <w:color w:val="auto"/>
          <w:kern w:val="2"/>
          <w:sz w:val="21"/>
          <w:szCs w:val="21"/>
          <w:highlight w:val="none"/>
        </w:rPr>
        <w:t>）</w:t>
      </w:r>
      <w:r>
        <w:rPr>
          <w:rFonts w:hint="eastAsia"/>
          <w:b/>
          <w:bCs/>
          <w:color w:val="auto"/>
          <w:sz w:val="21"/>
          <w:szCs w:val="21"/>
          <w:highlight w:val="none"/>
        </w:rPr>
        <w:t>后</w:t>
      </w:r>
      <w:r>
        <w:rPr>
          <w:rFonts w:hint="eastAsia" w:cs="Arial"/>
          <w:color w:val="auto"/>
          <w:kern w:val="2"/>
          <w:sz w:val="21"/>
          <w:szCs w:val="21"/>
          <w:highlight w:val="none"/>
        </w:rPr>
        <w:t>经医院</w:t>
      </w:r>
      <w:r>
        <w:rPr>
          <w:rFonts w:hint="eastAsia" w:cs="Arial"/>
          <w:bCs/>
          <w:color w:val="auto"/>
          <w:kern w:val="2"/>
          <w:sz w:val="21"/>
          <w:szCs w:val="21"/>
          <w:highlight w:val="none"/>
        </w:rPr>
        <w:t>（释义3）</w:t>
      </w:r>
      <w:r>
        <w:rPr>
          <w:rFonts w:hint="eastAsia" w:cs="Arial"/>
          <w:color w:val="auto"/>
          <w:kern w:val="2"/>
          <w:sz w:val="21"/>
          <w:szCs w:val="21"/>
          <w:highlight w:val="none"/>
        </w:rPr>
        <w:t>的专科医生</w:t>
      </w:r>
      <w:r>
        <w:rPr>
          <w:rFonts w:hint="eastAsia" w:cs="Arial"/>
          <w:bCs/>
          <w:color w:val="auto"/>
          <w:kern w:val="2"/>
          <w:sz w:val="21"/>
          <w:szCs w:val="21"/>
          <w:highlight w:val="none"/>
        </w:rPr>
        <w:t>（释义4）</w:t>
      </w:r>
      <w:r>
        <w:rPr>
          <w:rFonts w:hint="eastAsia" w:cs="Arial"/>
          <w:color w:val="auto"/>
          <w:kern w:val="2"/>
          <w:sz w:val="21"/>
          <w:szCs w:val="21"/>
          <w:highlight w:val="none"/>
        </w:rPr>
        <w:t>诊断初次罹患本附加险合同所列重大疾病</w:t>
      </w:r>
      <w:r>
        <w:rPr>
          <w:rFonts w:hint="eastAsia" w:cs="Arial"/>
          <w:bCs/>
          <w:color w:val="auto"/>
          <w:kern w:val="2"/>
          <w:sz w:val="21"/>
          <w:szCs w:val="21"/>
          <w:highlight w:val="none"/>
        </w:rPr>
        <w:t>（释义5）</w:t>
      </w:r>
      <w:r>
        <w:rPr>
          <w:rFonts w:hint="eastAsia" w:cs="Arial"/>
          <w:color w:val="auto"/>
          <w:kern w:val="2"/>
          <w:sz w:val="21"/>
          <w:szCs w:val="21"/>
          <w:highlight w:val="none"/>
        </w:rPr>
        <w:t>，保险人按保险单</w:t>
      </w:r>
      <w:r>
        <w:rPr>
          <w:rFonts w:hint="eastAsia"/>
          <w:color w:val="auto"/>
          <w:kern w:val="2"/>
          <w:sz w:val="21"/>
          <w:szCs w:val="21"/>
          <w:highlight w:val="none"/>
        </w:rPr>
        <w:t>中所</w:t>
      </w:r>
      <w:r>
        <w:rPr>
          <w:rFonts w:hint="eastAsia" w:cs="Arial"/>
          <w:color w:val="auto"/>
          <w:kern w:val="2"/>
          <w:sz w:val="21"/>
          <w:szCs w:val="21"/>
          <w:highlight w:val="none"/>
        </w:rPr>
        <w:t>载明的保险金额给付重大疾病保险金，</w:t>
      </w:r>
      <w:r>
        <w:rPr>
          <w:rFonts w:hint="eastAsia" w:cs="Arial"/>
          <w:b/>
          <w:bCs/>
          <w:color w:val="auto"/>
          <w:kern w:val="2"/>
          <w:sz w:val="21"/>
          <w:szCs w:val="21"/>
          <w:highlight w:val="none"/>
        </w:rPr>
        <w:t>同时对该被保险人保险责任终止</w:t>
      </w:r>
      <w:r>
        <w:rPr>
          <w:rFonts w:hint="eastAsia" w:cs="Arial"/>
          <w:color w:val="auto"/>
          <w:kern w:val="2"/>
          <w:sz w:val="21"/>
          <w:szCs w:val="21"/>
          <w:highlight w:val="none"/>
        </w:rPr>
        <w:t>。</w:t>
      </w:r>
    </w:p>
    <w:p>
      <w:pPr>
        <w:pStyle w:val="6"/>
        <w:widowControl/>
        <w:adjustRightInd w:val="0"/>
        <w:snapToGrid w:val="0"/>
        <w:spacing w:after="156" w:afterLines="50" w:afterAutospacing="0"/>
        <w:ind w:firstLine="420" w:firstLineChars="200"/>
        <w:jc w:val="both"/>
        <w:rPr>
          <w:rFonts w:cs="Arial"/>
          <w:b/>
          <w:bCs/>
          <w:color w:val="auto"/>
          <w:kern w:val="2"/>
          <w:sz w:val="21"/>
          <w:szCs w:val="21"/>
          <w:highlight w:val="none"/>
        </w:rPr>
      </w:pPr>
      <w:r>
        <w:rPr>
          <w:rFonts w:hint="eastAsia" w:cs="Arial"/>
          <w:color w:val="auto"/>
          <w:kern w:val="2"/>
          <w:sz w:val="21"/>
          <w:szCs w:val="21"/>
          <w:highlight w:val="none"/>
        </w:rPr>
        <w:t>被保险人</w:t>
      </w:r>
      <w:r>
        <w:rPr>
          <w:rFonts w:hint="eastAsia"/>
          <w:color w:val="auto"/>
          <w:sz w:val="21"/>
          <w:szCs w:val="21"/>
          <w:highlight w:val="none"/>
        </w:rPr>
        <w:t>自本</w:t>
      </w:r>
      <w:r>
        <w:rPr>
          <w:rFonts w:hint="eastAsia" w:cs="Arial"/>
          <w:color w:val="auto"/>
          <w:kern w:val="2"/>
          <w:sz w:val="21"/>
          <w:szCs w:val="21"/>
          <w:highlight w:val="none"/>
        </w:rPr>
        <w:t>附加险</w:t>
      </w:r>
      <w:r>
        <w:rPr>
          <w:rFonts w:hint="eastAsia"/>
          <w:color w:val="auto"/>
          <w:sz w:val="21"/>
          <w:szCs w:val="21"/>
          <w:highlight w:val="none"/>
        </w:rPr>
        <w:t>合同生效之日起，</w:t>
      </w:r>
      <w:r>
        <w:rPr>
          <w:rFonts w:hint="eastAsia"/>
          <w:b/>
          <w:bCs/>
          <w:color w:val="auto"/>
          <w:sz w:val="21"/>
          <w:szCs w:val="21"/>
          <w:highlight w:val="none"/>
        </w:rPr>
        <w:t>在本附加险合同约定的等待期</w:t>
      </w:r>
      <w:r>
        <w:rPr>
          <w:rFonts w:hint="eastAsia" w:cs="Arial"/>
          <w:b/>
          <w:bCs/>
          <w:color w:val="auto"/>
          <w:kern w:val="2"/>
          <w:sz w:val="21"/>
          <w:szCs w:val="21"/>
          <w:highlight w:val="none"/>
        </w:rPr>
        <w:t>（最高不超过180天，</w:t>
      </w:r>
      <w:r>
        <w:rPr>
          <w:rFonts w:hint="eastAsia"/>
          <w:b/>
          <w:bCs/>
          <w:color w:val="auto"/>
          <w:sz w:val="21"/>
          <w:szCs w:val="21"/>
          <w:highlight w:val="none"/>
        </w:rPr>
        <w:t>续保者不受等待期限制</w:t>
      </w:r>
      <w:r>
        <w:rPr>
          <w:rFonts w:hint="eastAsia" w:cs="Arial"/>
          <w:b/>
          <w:bCs/>
          <w:color w:val="auto"/>
          <w:kern w:val="2"/>
          <w:sz w:val="21"/>
          <w:szCs w:val="21"/>
          <w:highlight w:val="none"/>
        </w:rPr>
        <w:t>）</w:t>
      </w:r>
      <w:r>
        <w:rPr>
          <w:rFonts w:hint="eastAsia"/>
          <w:b/>
          <w:bCs/>
          <w:color w:val="auto"/>
          <w:sz w:val="21"/>
          <w:szCs w:val="21"/>
          <w:highlight w:val="none"/>
        </w:rPr>
        <w:t>内</w:t>
      </w:r>
      <w:r>
        <w:rPr>
          <w:rFonts w:hint="eastAsia" w:cs="Arial"/>
          <w:b/>
          <w:bCs/>
          <w:color w:val="auto"/>
          <w:kern w:val="2"/>
          <w:sz w:val="21"/>
          <w:szCs w:val="21"/>
          <w:highlight w:val="none"/>
        </w:rPr>
        <w:t>经医院的专科医生诊断初次罹患本附加险合同所列重大疾病，</w:t>
      </w:r>
      <w:r>
        <w:rPr>
          <w:rFonts w:hint="eastAsia"/>
          <w:b/>
          <w:bCs/>
          <w:color w:val="auto"/>
          <w:kern w:val="2"/>
          <w:sz w:val="21"/>
          <w:szCs w:val="21"/>
          <w:highlight w:val="none"/>
        </w:rPr>
        <w:t>或等待期内在医院接受检查并在等待期后根据此次检查结果确诊</w:t>
      </w:r>
      <w:r>
        <w:rPr>
          <w:rFonts w:hint="eastAsia" w:cs="Arial"/>
          <w:b/>
          <w:bCs/>
          <w:color w:val="auto"/>
          <w:kern w:val="2"/>
          <w:sz w:val="21"/>
          <w:szCs w:val="21"/>
          <w:highlight w:val="none"/>
        </w:rPr>
        <w:t>罹患</w:t>
      </w:r>
      <w:r>
        <w:rPr>
          <w:rFonts w:hint="eastAsia"/>
          <w:b/>
          <w:bCs/>
          <w:color w:val="auto"/>
          <w:kern w:val="2"/>
          <w:sz w:val="21"/>
          <w:szCs w:val="21"/>
          <w:highlight w:val="none"/>
        </w:rPr>
        <w:t>本附加险合同</w:t>
      </w:r>
      <w:r>
        <w:rPr>
          <w:rFonts w:hint="eastAsia" w:cs="Arial"/>
          <w:b/>
          <w:bCs/>
          <w:color w:val="auto"/>
          <w:kern w:val="2"/>
          <w:sz w:val="21"/>
          <w:szCs w:val="21"/>
          <w:highlight w:val="none"/>
        </w:rPr>
        <w:t>所列重大疾病</w:t>
      </w:r>
      <w:r>
        <w:rPr>
          <w:rFonts w:hint="eastAsia"/>
          <w:b/>
          <w:bCs/>
          <w:color w:val="auto"/>
          <w:kern w:val="2"/>
          <w:sz w:val="21"/>
          <w:szCs w:val="21"/>
          <w:highlight w:val="none"/>
        </w:rPr>
        <w:t>，</w:t>
      </w:r>
      <w:r>
        <w:rPr>
          <w:rFonts w:hint="eastAsia" w:cs="Arial"/>
          <w:b/>
          <w:bCs/>
          <w:color w:val="auto"/>
          <w:kern w:val="2"/>
          <w:sz w:val="21"/>
          <w:szCs w:val="21"/>
          <w:highlight w:val="none"/>
        </w:rPr>
        <w:t>保险人不承担保险金给付责任，但应对投保人无息返还该被保险人对应的所交保险费，同时对该被保险人的保险责任终止。</w:t>
      </w:r>
    </w:p>
    <w:p>
      <w:pPr>
        <w:adjustRightInd w:val="0"/>
        <w:snapToGrid w:val="0"/>
        <w:spacing w:after="156" w:afterLines="50"/>
        <w:ind w:firstLine="420" w:firstLineChars="200"/>
        <w:rPr>
          <w:b/>
          <w:color w:val="auto"/>
          <w:kern w:val="2"/>
          <w:sz w:val="21"/>
          <w:szCs w:val="21"/>
          <w:highlight w:val="none"/>
        </w:rPr>
      </w:pPr>
      <w:r>
        <w:rPr>
          <w:rFonts w:hint="eastAsia" w:hAnsi="宋体" w:cs="宋体"/>
          <w:color w:val="auto"/>
          <w:kern w:val="2"/>
          <w:sz w:val="21"/>
          <w:szCs w:val="21"/>
          <w:highlight w:val="none"/>
        </w:rPr>
        <w:t>在本</w:t>
      </w:r>
      <w:r>
        <w:rPr>
          <w:rFonts w:hint="eastAsia" w:cs="Arial"/>
          <w:color w:val="auto"/>
          <w:kern w:val="2"/>
          <w:sz w:val="21"/>
          <w:szCs w:val="21"/>
          <w:highlight w:val="none"/>
        </w:rPr>
        <w:t>附加险</w:t>
      </w:r>
      <w:r>
        <w:rPr>
          <w:rFonts w:hint="eastAsia" w:hAnsi="宋体" w:cs="宋体"/>
          <w:color w:val="auto"/>
          <w:kern w:val="2"/>
          <w:sz w:val="21"/>
          <w:szCs w:val="21"/>
          <w:highlight w:val="none"/>
        </w:rPr>
        <w:t>合同保险期间内，被保险人因意外伤害</w:t>
      </w:r>
      <w:r>
        <w:rPr>
          <w:rFonts w:hint="eastAsia" w:cs="Arial"/>
          <w:bCs/>
          <w:color w:val="auto"/>
          <w:kern w:val="2"/>
          <w:sz w:val="21"/>
          <w:szCs w:val="21"/>
          <w:highlight w:val="none"/>
        </w:rPr>
        <w:t>（释义6）</w:t>
      </w:r>
      <w:r>
        <w:rPr>
          <w:rFonts w:hint="eastAsia" w:hAnsi="宋体" w:cs="宋体"/>
          <w:color w:val="auto"/>
          <w:kern w:val="2"/>
          <w:sz w:val="21"/>
          <w:szCs w:val="21"/>
          <w:highlight w:val="none"/>
        </w:rPr>
        <w:t>事故导致初次罹患本</w:t>
      </w:r>
      <w:r>
        <w:rPr>
          <w:rFonts w:hint="eastAsia" w:cs="Arial"/>
          <w:color w:val="auto"/>
          <w:kern w:val="2"/>
          <w:sz w:val="21"/>
          <w:szCs w:val="21"/>
          <w:highlight w:val="none"/>
        </w:rPr>
        <w:t>附加险</w:t>
      </w:r>
      <w:r>
        <w:rPr>
          <w:rFonts w:hint="eastAsia" w:hAnsi="宋体" w:cs="宋体"/>
          <w:color w:val="auto"/>
          <w:kern w:val="2"/>
          <w:sz w:val="21"/>
          <w:szCs w:val="21"/>
          <w:highlight w:val="none"/>
        </w:rPr>
        <w:t>合同所列的重大疾病，则不受等待期限制。</w:t>
      </w:r>
      <w:bookmarkEnd w:id="0"/>
    </w:p>
    <w:p>
      <w:pPr>
        <w:pStyle w:val="6"/>
        <w:adjustRightInd w:val="0"/>
        <w:snapToGrid w:val="0"/>
        <w:spacing w:beforeAutospacing="0" w:after="156" w:afterLines="50" w:afterAutospacing="0"/>
        <w:jc w:val="center"/>
        <w:rPr>
          <w:b/>
          <w:color w:val="auto"/>
          <w:kern w:val="2"/>
          <w:sz w:val="21"/>
          <w:szCs w:val="21"/>
          <w:highlight w:val="none"/>
        </w:rPr>
      </w:pPr>
      <w:r>
        <w:rPr>
          <w:rFonts w:hint="eastAsia"/>
          <w:b/>
          <w:color w:val="auto"/>
          <w:kern w:val="2"/>
          <w:sz w:val="21"/>
          <w:szCs w:val="21"/>
          <w:highlight w:val="none"/>
        </w:rPr>
        <w:t>责任免除</w:t>
      </w:r>
    </w:p>
    <w:p>
      <w:pPr>
        <w:pStyle w:val="6"/>
        <w:widowControl/>
        <w:adjustRightInd w:val="0"/>
        <w:snapToGrid w:val="0"/>
        <w:spacing w:line="240" w:lineRule="auto"/>
        <w:ind w:firstLine="422" w:firstLineChars="200"/>
        <w:rPr>
          <w:b/>
          <w:bCs/>
          <w:color w:val="auto"/>
          <w:sz w:val="21"/>
          <w:szCs w:val="21"/>
          <w:highlight w:val="none"/>
        </w:rPr>
      </w:pPr>
      <w:r>
        <w:rPr>
          <w:rFonts w:hint="eastAsia"/>
          <w:b/>
          <w:color w:val="auto"/>
          <w:kern w:val="2"/>
          <w:sz w:val="21"/>
          <w:szCs w:val="21"/>
          <w:highlight w:val="none"/>
        </w:rPr>
        <w:t xml:space="preserve">第七条  </w:t>
      </w:r>
      <w:r>
        <w:rPr>
          <w:rFonts w:hint="eastAsia"/>
          <w:b/>
          <w:bCs/>
          <w:color w:val="auto"/>
          <w:sz w:val="21"/>
          <w:szCs w:val="21"/>
          <w:highlight w:val="none"/>
          <w:lang w:bidi="ar"/>
        </w:rPr>
        <w:t>因下列情形之一，导致被保险人发生疾病、达到疾病状态或进行手术的，保险人不承担保险责任：</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（一）投保人对被保险人的故意杀害、故意伤害；</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（二）被保险人故意犯罪或抗拒依法采取的刑事强制措施；</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（三）被保险人故意自伤、自杀，但被保险人自杀时为无民事行为能力人的除外；</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（四）被保险人服用、吸食或注射毒品；</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（五）被保险人酒后驾驶（释义7）、无合法有效驾驶证驾驶（释义8），或驾驶无合法有效行驶证（释义9）的机动车；</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（六）被保险人感染艾滋病病毒或患艾滋病（释义10）；</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（七）战争、军事冲突、暴乱或武装叛乱；</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（八）核爆炸、核辐射或核污染；</w:t>
      </w:r>
    </w:p>
    <w:p>
      <w:pPr>
        <w:pStyle w:val="6"/>
        <w:widowControl/>
        <w:adjustRightInd w:val="0"/>
        <w:snapToGrid w:val="0"/>
        <w:spacing w:line="240" w:lineRule="auto"/>
        <w:ind w:firstLine="422" w:firstLineChars="200"/>
        <w:rPr>
          <w:b/>
          <w:color w:val="auto"/>
          <w:sz w:val="21"/>
          <w:szCs w:val="21"/>
          <w:highlight w:val="none"/>
        </w:rPr>
      </w:pPr>
      <w:r>
        <w:rPr>
          <w:rFonts w:hint="eastAsia"/>
          <w:b/>
          <w:color w:val="auto"/>
          <w:sz w:val="21"/>
          <w:szCs w:val="21"/>
          <w:highlight w:val="none"/>
        </w:rPr>
        <w:t>（九）遗传性疾病（释义11），先天性畸形、变形或染色体异常（释义12）。</w:t>
      </w:r>
    </w:p>
    <w:p>
      <w:pPr>
        <w:pStyle w:val="6"/>
        <w:adjustRightInd w:val="0"/>
        <w:snapToGrid w:val="0"/>
        <w:spacing w:beforeAutospacing="0" w:after="156" w:afterLines="50" w:afterAutospacing="0"/>
        <w:jc w:val="center"/>
        <w:rPr>
          <w:b/>
          <w:color w:val="auto"/>
          <w:kern w:val="2"/>
          <w:sz w:val="21"/>
          <w:szCs w:val="21"/>
          <w:highlight w:val="none"/>
        </w:rPr>
      </w:pPr>
      <w:r>
        <w:rPr>
          <w:rFonts w:hint="eastAsia"/>
          <w:b/>
          <w:color w:val="auto"/>
          <w:kern w:val="2"/>
          <w:sz w:val="21"/>
          <w:szCs w:val="21"/>
          <w:highlight w:val="none"/>
        </w:rPr>
        <w:t>保险金额和保险费</w:t>
      </w:r>
    </w:p>
    <w:p>
      <w:pPr>
        <w:spacing w:after="156" w:afterLines="50"/>
        <w:ind w:right="-47" w:firstLine="422" w:firstLineChars="200"/>
        <w:rPr>
          <w:rFonts w:hAnsi="宋体" w:cs="宋体"/>
          <w:color w:val="auto"/>
          <w:kern w:val="2"/>
          <w:sz w:val="21"/>
          <w:szCs w:val="21"/>
          <w:highlight w:val="none"/>
        </w:rPr>
      </w:pPr>
      <w:r>
        <w:rPr>
          <w:rFonts w:hint="eastAsia" w:hAnsi="宋体" w:cs="宋体"/>
          <w:b/>
          <w:color w:val="auto"/>
          <w:kern w:val="2"/>
          <w:sz w:val="21"/>
          <w:szCs w:val="21"/>
          <w:highlight w:val="none"/>
          <w:lang w:bidi="ar"/>
        </w:rPr>
        <w:t xml:space="preserve">第八条  </w:t>
      </w:r>
      <w:r>
        <w:rPr>
          <w:rFonts w:hint="eastAsia" w:hAnsi="宋体" w:cs="宋体"/>
          <w:b/>
          <w:bCs/>
          <w:color w:val="auto"/>
          <w:kern w:val="2"/>
          <w:sz w:val="21"/>
          <w:szCs w:val="21"/>
          <w:highlight w:val="none"/>
        </w:rPr>
        <w:t>每一被保险人的保险金额是保险人对该被保险人承担给付保险金责任的最高限额。</w:t>
      </w:r>
      <w:r>
        <w:rPr>
          <w:rFonts w:hint="eastAsia" w:hAnsi="宋体" w:cs="宋体"/>
          <w:color w:val="auto"/>
          <w:kern w:val="2"/>
          <w:sz w:val="21"/>
          <w:szCs w:val="21"/>
          <w:highlight w:val="none"/>
        </w:rPr>
        <w:t>保险金额由投保人、保险人双方约定，并在保险单中载明。</w:t>
      </w:r>
    </w:p>
    <w:p>
      <w:pPr>
        <w:adjustRightInd w:val="0"/>
        <w:snapToGrid w:val="0"/>
        <w:spacing w:after="156" w:afterLines="50"/>
        <w:ind w:firstLine="422" w:firstLineChars="200"/>
        <w:jc w:val="left"/>
        <w:rPr>
          <w:b/>
          <w:color w:val="auto"/>
          <w:kern w:val="2"/>
          <w:sz w:val="21"/>
          <w:szCs w:val="21"/>
          <w:highlight w:val="none"/>
        </w:rPr>
      </w:pPr>
      <w:r>
        <w:rPr>
          <w:rFonts w:hint="eastAsia" w:hAnsi="宋体" w:cs="宋体"/>
          <w:b/>
          <w:bCs/>
          <w:color w:val="auto"/>
          <w:kern w:val="2"/>
          <w:sz w:val="21"/>
          <w:szCs w:val="21"/>
          <w:highlight w:val="none"/>
        </w:rPr>
        <w:t xml:space="preserve">第九条  </w:t>
      </w:r>
      <w:r>
        <w:rPr>
          <w:rFonts w:hint="eastAsia" w:hAnsi="宋体" w:cs="宋体"/>
          <w:color w:val="auto"/>
          <w:kern w:val="2"/>
          <w:sz w:val="21"/>
          <w:szCs w:val="21"/>
          <w:highlight w:val="none"/>
        </w:rPr>
        <w:t>本附加险合同的保险费由保险人根据保险金额、保险期间及具体风险状况等确定，并在保险单中载明其金额。</w:t>
      </w:r>
    </w:p>
    <w:p>
      <w:pPr>
        <w:pStyle w:val="6"/>
        <w:adjustRightInd w:val="0"/>
        <w:snapToGrid w:val="0"/>
        <w:spacing w:before="0" w:beforeAutospacing="0" w:after="156" w:afterLines="50" w:afterAutospacing="0"/>
        <w:jc w:val="center"/>
        <w:rPr>
          <w:b/>
          <w:color w:val="auto"/>
          <w:kern w:val="2"/>
          <w:sz w:val="21"/>
          <w:szCs w:val="21"/>
          <w:highlight w:val="none"/>
        </w:rPr>
      </w:pPr>
      <w:r>
        <w:rPr>
          <w:rFonts w:hint="eastAsia"/>
          <w:b/>
          <w:color w:val="auto"/>
          <w:kern w:val="2"/>
          <w:sz w:val="21"/>
          <w:szCs w:val="21"/>
          <w:highlight w:val="none"/>
        </w:rPr>
        <w:t>保险期间</w:t>
      </w:r>
    </w:p>
    <w:p>
      <w:pPr>
        <w:pStyle w:val="6"/>
        <w:adjustRightInd w:val="0"/>
        <w:snapToGrid w:val="0"/>
        <w:spacing w:after="156" w:afterLines="50"/>
        <w:ind w:firstLine="422" w:firstLineChars="200"/>
        <w:rPr>
          <w:color w:val="auto"/>
          <w:kern w:val="2"/>
          <w:sz w:val="21"/>
          <w:szCs w:val="21"/>
          <w:highlight w:val="none"/>
        </w:rPr>
      </w:pPr>
      <w:r>
        <w:rPr>
          <w:rFonts w:hint="eastAsia"/>
          <w:b/>
          <w:color w:val="auto"/>
          <w:kern w:val="2"/>
          <w:sz w:val="21"/>
          <w:szCs w:val="21"/>
          <w:highlight w:val="none"/>
        </w:rPr>
        <w:t xml:space="preserve">第十条  </w:t>
      </w:r>
      <w:r>
        <w:rPr>
          <w:rFonts w:ascii="Times New Roman"/>
          <w:color w:val="auto"/>
          <w:kern w:val="2"/>
          <w:sz w:val="21"/>
          <w:szCs w:val="21"/>
          <w:highlight w:val="none"/>
        </w:rPr>
        <w:t>保险期间由投保人和保险人约定，以保险单上载明的起讫时间为准</w:t>
      </w:r>
      <w:r>
        <w:rPr>
          <w:rFonts w:hint="eastAsia"/>
          <w:color w:val="auto"/>
          <w:kern w:val="2"/>
          <w:sz w:val="21"/>
          <w:szCs w:val="21"/>
          <w:highlight w:val="none"/>
        </w:rPr>
        <w:t>，最长期限不超过</w:t>
      </w:r>
      <w:r>
        <w:rPr>
          <w:color w:val="auto"/>
          <w:kern w:val="2"/>
          <w:sz w:val="21"/>
          <w:szCs w:val="21"/>
          <w:highlight w:val="none"/>
        </w:rPr>
        <w:t>1</w:t>
      </w:r>
      <w:r>
        <w:rPr>
          <w:rFonts w:hint="eastAsia"/>
          <w:color w:val="auto"/>
          <w:kern w:val="2"/>
          <w:sz w:val="21"/>
          <w:szCs w:val="21"/>
          <w:highlight w:val="none"/>
        </w:rPr>
        <w:t>年。</w:t>
      </w:r>
      <w:r>
        <w:rPr>
          <w:rFonts w:hint="eastAsia"/>
          <w:color w:val="auto"/>
          <w:kern w:val="2"/>
          <w:sz w:val="21"/>
          <w:szCs w:val="21"/>
          <w:highlight w:val="none"/>
        </w:rPr>
        <w:br w:type="textWrapping"/>
      </w:r>
    </w:p>
    <w:p>
      <w:pPr>
        <w:pStyle w:val="6"/>
        <w:adjustRightInd w:val="0"/>
        <w:snapToGrid w:val="0"/>
        <w:spacing w:after="156" w:afterLines="50"/>
        <w:ind w:firstLine="0" w:firstLineChars="0"/>
        <w:jc w:val="center"/>
        <w:rPr>
          <w:b/>
          <w:bCs/>
          <w:color w:val="auto"/>
          <w:kern w:val="2"/>
          <w:sz w:val="21"/>
          <w:szCs w:val="21"/>
          <w:highlight w:val="none"/>
        </w:rPr>
      </w:pPr>
      <w:r>
        <w:rPr>
          <w:rFonts w:hint="eastAsia"/>
          <w:b/>
          <w:bCs/>
          <w:color w:val="auto"/>
          <w:kern w:val="2"/>
          <w:sz w:val="21"/>
          <w:szCs w:val="21"/>
          <w:highlight w:val="none"/>
        </w:rPr>
        <w:t>不保证续保</w:t>
      </w:r>
    </w:p>
    <w:p>
      <w:pPr>
        <w:pStyle w:val="6"/>
        <w:adjustRightInd w:val="0"/>
        <w:snapToGrid w:val="0"/>
        <w:spacing w:after="156" w:afterLines="50"/>
        <w:ind w:firstLine="422" w:firstLineChars="200"/>
        <w:rPr>
          <w:color w:val="auto"/>
          <w:kern w:val="2"/>
          <w:sz w:val="21"/>
          <w:szCs w:val="21"/>
          <w:highlight w:val="none"/>
        </w:rPr>
      </w:pPr>
      <w:r>
        <w:rPr>
          <w:rFonts w:hint="eastAsia"/>
          <w:b/>
          <w:bCs/>
          <w:color w:val="auto"/>
          <w:kern w:val="2"/>
          <w:sz w:val="21"/>
          <w:szCs w:val="21"/>
          <w:highlight w:val="none"/>
        </w:rPr>
        <w:t>第十一条</w:t>
      </w:r>
      <w:r>
        <w:rPr>
          <w:color w:val="auto"/>
          <w:kern w:val="2"/>
          <w:sz w:val="21"/>
          <w:szCs w:val="21"/>
          <w:highlight w:val="none"/>
        </w:rPr>
        <w:t xml:space="preserve"> </w:t>
      </w:r>
      <w:r>
        <w:rPr>
          <w:rFonts w:hint="eastAsia"/>
          <w:b/>
          <w:bCs/>
          <w:color w:val="auto"/>
          <w:kern w:val="2"/>
          <w:sz w:val="21"/>
          <w:szCs w:val="21"/>
          <w:highlight w:val="none"/>
        </w:rPr>
        <w:t>本附加险合同为不保证续保合同。保险期间届满，投保人需要重新向保险人申请投保本附加险产品，并经保险人同意，交纳保险费，获得新的保险合同。</w:t>
      </w:r>
      <w:r>
        <w:rPr>
          <w:rFonts w:hint="eastAsia"/>
          <w:color w:val="auto"/>
          <w:kern w:val="2"/>
          <w:sz w:val="21"/>
          <w:szCs w:val="21"/>
          <w:highlight w:val="none"/>
        </w:rPr>
        <w:t>除另有约定外，在本附加险合同保险期间届满后</w:t>
      </w:r>
      <w:r>
        <w:rPr>
          <w:color w:val="auto"/>
          <w:kern w:val="2"/>
          <w:sz w:val="21"/>
          <w:szCs w:val="21"/>
          <w:highlight w:val="none"/>
        </w:rPr>
        <w:t>15日内（含第15日）订立新保险合同的，视同为续保，续保不再计算等待期。</w:t>
      </w:r>
    </w:p>
    <w:p>
      <w:pPr>
        <w:pStyle w:val="6"/>
        <w:adjustRightInd w:val="0"/>
        <w:snapToGrid w:val="0"/>
        <w:spacing w:after="156" w:afterLines="50"/>
        <w:ind w:firstLine="420" w:firstLineChars="200"/>
        <w:rPr>
          <w:color w:val="auto"/>
          <w:kern w:val="2"/>
          <w:sz w:val="21"/>
          <w:szCs w:val="21"/>
          <w:highlight w:val="none"/>
        </w:rPr>
      </w:pPr>
      <w:r>
        <w:rPr>
          <w:rFonts w:hint="eastAsia"/>
          <w:color w:val="auto"/>
          <w:kern w:val="2"/>
          <w:sz w:val="21"/>
          <w:szCs w:val="21"/>
          <w:highlight w:val="none"/>
        </w:rPr>
        <w:t>只有在续保主险合同基础上，才能续保本附加险合同。</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当发生下列情形之一的，本附加险合同不再接受续保：</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（一）本附加险产品统一停售；</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（二）被保险人身故；</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（三）被保险人已确诊本附加险合同约定的重大疾病（一种或多种）；</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（四）投保人未如实告知</w:t>
      </w:r>
      <w:r>
        <w:rPr>
          <w:b/>
          <w:bCs/>
          <w:color w:val="auto"/>
          <w:kern w:val="2"/>
          <w:sz w:val="21"/>
          <w:szCs w:val="21"/>
          <w:highlight w:val="none"/>
        </w:rPr>
        <w:t>,被保险人不符合投保条件或存在欺诈情形的；</w:t>
      </w:r>
    </w:p>
    <w:p>
      <w:pPr>
        <w:pStyle w:val="6"/>
        <w:adjustRightInd w:val="0"/>
        <w:snapToGrid w:val="0"/>
        <w:spacing w:after="156" w:afterLines="50"/>
        <w:ind w:firstLine="422" w:firstLineChars="200"/>
        <w:rPr>
          <w:b/>
          <w:bCs/>
          <w:color w:val="auto"/>
          <w:kern w:val="2"/>
          <w:sz w:val="21"/>
          <w:szCs w:val="21"/>
          <w:highlight w:val="none"/>
        </w:rPr>
      </w:pPr>
      <w:r>
        <w:rPr>
          <w:rFonts w:hint="eastAsia"/>
          <w:b/>
          <w:bCs/>
          <w:color w:val="auto"/>
          <w:kern w:val="2"/>
          <w:sz w:val="21"/>
          <w:szCs w:val="21"/>
          <w:highlight w:val="none"/>
        </w:rPr>
        <w:t>（五）本附加险合同因其他条款所列情况而导致效力终止。</w:t>
      </w:r>
    </w:p>
    <w:p>
      <w:pPr>
        <w:adjustRightInd w:val="0"/>
        <w:snapToGrid w:val="0"/>
        <w:spacing w:after="156" w:afterLines="50"/>
        <w:jc w:val="center"/>
        <w:rPr>
          <w:rFonts w:hAnsi="宋体" w:cs="宋体"/>
          <w:b/>
          <w:color w:val="auto"/>
          <w:kern w:val="2"/>
          <w:sz w:val="21"/>
          <w:szCs w:val="21"/>
          <w:highlight w:val="none"/>
        </w:rPr>
      </w:pPr>
      <w:r>
        <w:rPr>
          <w:rFonts w:hint="eastAsia" w:hAnsi="宋体" w:cs="宋体"/>
          <w:b/>
          <w:color w:val="auto"/>
          <w:kern w:val="2"/>
          <w:sz w:val="21"/>
          <w:szCs w:val="21"/>
          <w:highlight w:val="none"/>
        </w:rPr>
        <w:t>保险金的申请与给付</w:t>
      </w:r>
    </w:p>
    <w:p>
      <w:pPr>
        <w:spacing w:after="156" w:afterLines="50"/>
        <w:ind w:firstLine="422" w:firstLineChars="200"/>
        <w:rPr>
          <w:rFonts w:ascii="Times New Roman"/>
          <w:b/>
          <w:color w:val="auto"/>
          <w:kern w:val="2"/>
          <w:sz w:val="21"/>
          <w:szCs w:val="21"/>
          <w:highlight w:val="none"/>
        </w:rPr>
      </w:pPr>
      <w:r>
        <w:rPr>
          <w:rFonts w:hint="eastAsia" w:hAnsi="宋体" w:cs="宋体"/>
          <w:b/>
          <w:color w:val="auto"/>
          <w:kern w:val="2"/>
          <w:sz w:val="21"/>
          <w:szCs w:val="21"/>
          <w:highlight w:val="none"/>
        </w:rPr>
        <w:t xml:space="preserve">第十二条  </w:t>
      </w:r>
      <w:r>
        <w:rPr>
          <w:rFonts w:ascii="Times New Roman"/>
          <w:color w:val="auto"/>
          <w:kern w:val="2"/>
          <w:sz w:val="21"/>
          <w:szCs w:val="21"/>
          <w:highlight w:val="none"/>
        </w:rPr>
        <w:t>保险金申请人</w:t>
      </w:r>
      <w:r>
        <w:rPr>
          <w:rFonts w:hint="eastAsia" w:cs="Arial"/>
          <w:bCs/>
          <w:color w:val="auto"/>
          <w:kern w:val="2"/>
          <w:sz w:val="21"/>
          <w:szCs w:val="21"/>
          <w:highlight w:val="none"/>
        </w:rPr>
        <w:t>（释义13）</w:t>
      </w:r>
      <w:r>
        <w:rPr>
          <w:rFonts w:ascii="Times New Roman"/>
          <w:color w:val="auto"/>
          <w:kern w:val="2"/>
          <w:sz w:val="21"/>
          <w:szCs w:val="21"/>
          <w:highlight w:val="none"/>
        </w:rPr>
        <w:t>向保险人申请给付保险金时，应提交作为索赔依据的证明和材料。保险金申请人因特殊原因不能提供以下材料的，应提供其他合法有效的材料。</w:t>
      </w:r>
      <w:r>
        <w:rPr>
          <w:rFonts w:ascii="Times New Roman"/>
          <w:b/>
          <w:color w:val="auto"/>
          <w:kern w:val="2"/>
          <w:sz w:val="21"/>
          <w:szCs w:val="21"/>
          <w:highlight w:val="none"/>
        </w:rPr>
        <w:t>保险金申请人未能提供有关材料，导致保险人无法核实该申请的真实性的，保险人对无法核实部分不承担给付保险金的责任。</w:t>
      </w:r>
    </w:p>
    <w:p>
      <w:pPr>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1、索赔申请书；</w:t>
      </w:r>
    </w:p>
    <w:p>
      <w:pPr>
        <w:numPr>
          <w:ilvl w:val="255"/>
          <w:numId w:val="0"/>
        </w:numPr>
        <w:spacing w:after="156" w:afterLines="50"/>
        <w:ind w:firstLine="420" w:firstLineChars="200"/>
        <w:rPr>
          <w:rFonts w:ascii="Times New Roman"/>
          <w:color w:val="auto"/>
          <w:kern w:val="2"/>
          <w:sz w:val="21"/>
          <w:szCs w:val="21"/>
          <w:highlight w:val="none"/>
        </w:rPr>
      </w:pPr>
      <w:r>
        <w:rPr>
          <w:rFonts w:hint="eastAsia" w:hAnsi="宋体" w:cs="宋体"/>
          <w:color w:val="auto"/>
          <w:kern w:val="2"/>
          <w:sz w:val="21"/>
          <w:szCs w:val="21"/>
          <w:highlight w:val="none"/>
          <w:lang w:bidi="ar"/>
        </w:rPr>
        <w:t>2、</w:t>
      </w:r>
      <w:r>
        <w:rPr>
          <w:rFonts w:hint="eastAsia" w:hAnsi="宋体" w:cs="宋体"/>
          <w:color w:val="auto"/>
          <w:kern w:val="2"/>
          <w:sz w:val="21"/>
          <w:szCs w:val="21"/>
          <w:highlight w:val="none"/>
        </w:rPr>
        <w:t>保险单正本原件或其他保险凭证原件；</w:t>
      </w:r>
    </w:p>
    <w:p>
      <w:pPr>
        <w:autoSpaceDE w:val="0"/>
        <w:autoSpaceDN w:val="0"/>
        <w:spacing w:before="100" w:beforeAutospacing="1" w:after="156" w:afterLines="50"/>
        <w:ind w:firstLine="420" w:firstLineChars="200"/>
        <w:jc w:val="left"/>
        <w:textAlignment w:val="bottom"/>
        <w:rPr>
          <w:rFonts w:ascii="Times New Roman"/>
          <w:color w:val="auto"/>
          <w:kern w:val="2"/>
          <w:sz w:val="21"/>
          <w:szCs w:val="21"/>
          <w:highlight w:val="none"/>
        </w:rPr>
      </w:pPr>
      <w:r>
        <w:rPr>
          <w:rFonts w:hint="eastAsia" w:ascii="Times New Roman"/>
          <w:color w:val="auto"/>
          <w:kern w:val="2"/>
          <w:sz w:val="21"/>
          <w:szCs w:val="21"/>
          <w:highlight w:val="none"/>
        </w:rPr>
        <w:t>3</w:t>
      </w:r>
      <w:r>
        <w:rPr>
          <w:rFonts w:hint="eastAsia" w:hAnsi="宋体" w:cs="宋体"/>
          <w:color w:val="auto"/>
          <w:kern w:val="2"/>
          <w:sz w:val="21"/>
          <w:szCs w:val="21"/>
          <w:highlight w:val="none"/>
        </w:rPr>
        <w:t>、</w:t>
      </w:r>
      <w:r>
        <w:rPr>
          <w:rFonts w:hint="eastAsia" w:hAnsi="宋体" w:cs="宋体"/>
          <w:color w:val="auto"/>
          <w:kern w:val="2"/>
          <w:sz w:val="21"/>
          <w:szCs w:val="21"/>
          <w:highlight w:val="none"/>
          <w:lang w:bidi="ar"/>
        </w:rPr>
        <w:t>被保险人户籍证明或身份证明；</w:t>
      </w:r>
    </w:p>
    <w:p>
      <w:pPr>
        <w:spacing w:after="156" w:afterLines="50"/>
        <w:ind w:firstLine="420" w:firstLineChars="200"/>
        <w:rPr>
          <w:rFonts w:hAnsi="宋体" w:cs="宋体"/>
          <w:color w:val="auto"/>
          <w:kern w:val="2"/>
          <w:sz w:val="21"/>
          <w:szCs w:val="21"/>
          <w:highlight w:val="none"/>
          <w:lang w:bidi="ar"/>
        </w:rPr>
      </w:pPr>
      <w:r>
        <w:rPr>
          <w:rFonts w:hAnsi="宋体" w:cs="宋体"/>
          <w:color w:val="auto"/>
          <w:kern w:val="2"/>
          <w:sz w:val="21"/>
          <w:szCs w:val="21"/>
          <w:highlight w:val="none"/>
          <w:lang w:bidi="ar"/>
        </w:rPr>
        <w:t>4</w:t>
      </w:r>
      <w:r>
        <w:rPr>
          <w:rFonts w:hint="eastAsia" w:hAnsi="宋体" w:cs="宋体"/>
          <w:color w:val="auto"/>
          <w:kern w:val="2"/>
          <w:sz w:val="21"/>
          <w:szCs w:val="21"/>
          <w:highlight w:val="none"/>
          <w:lang w:bidi="ar"/>
        </w:rPr>
        <w:t>、保险金申请人所能提供的与确认保险事故的性质、原因、损失程度等有关的其它证明和资料；</w:t>
      </w:r>
    </w:p>
    <w:p>
      <w:pPr>
        <w:adjustRightInd w:val="0"/>
        <w:snapToGrid w:val="0"/>
        <w:spacing w:after="156" w:afterLines="50"/>
        <w:ind w:firstLine="420" w:firstLineChars="200"/>
        <w:rPr>
          <w:rFonts w:hAnsi="宋体" w:cs="宋体"/>
          <w:color w:val="auto"/>
          <w:kern w:val="2"/>
          <w:sz w:val="21"/>
          <w:szCs w:val="21"/>
          <w:highlight w:val="none"/>
          <w:lang w:bidi="ar"/>
        </w:rPr>
      </w:pPr>
      <w:r>
        <w:rPr>
          <w:rFonts w:hAnsi="宋体" w:cs="宋体"/>
          <w:color w:val="auto"/>
          <w:kern w:val="2"/>
          <w:sz w:val="21"/>
          <w:szCs w:val="21"/>
          <w:highlight w:val="none"/>
        </w:rPr>
        <w:t>5</w:t>
      </w:r>
      <w:r>
        <w:rPr>
          <w:rFonts w:hint="eastAsia" w:hAnsi="宋体" w:cs="宋体"/>
          <w:color w:val="auto"/>
          <w:kern w:val="2"/>
          <w:sz w:val="21"/>
          <w:szCs w:val="21"/>
          <w:highlight w:val="none"/>
        </w:rPr>
        <w:t>、若保险金申请人委托他人申请的，还应提供授权委托书原件、委托人和受托人的身份证明等相关证明文件。</w:t>
      </w:r>
    </w:p>
    <w:p>
      <w:pPr>
        <w:adjustRightInd w:val="0"/>
        <w:snapToGrid w:val="0"/>
        <w:spacing w:after="156" w:afterLines="50"/>
        <w:ind w:firstLine="422" w:firstLineChars="200"/>
        <w:rPr>
          <w:rFonts w:ascii="Times New Roman"/>
          <w:color w:val="auto"/>
          <w:kern w:val="2"/>
          <w:sz w:val="21"/>
          <w:szCs w:val="21"/>
          <w:highlight w:val="none"/>
        </w:rPr>
      </w:pPr>
      <w:r>
        <w:rPr>
          <w:rFonts w:ascii="Times New Roman"/>
          <w:b/>
          <w:color w:val="auto"/>
          <w:kern w:val="2"/>
          <w:sz w:val="21"/>
          <w:szCs w:val="21"/>
          <w:highlight w:val="none"/>
        </w:rPr>
        <w:t>第</w:t>
      </w:r>
      <w:r>
        <w:rPr>
          <w:rFonts w:hint="eastAsia" w:ascii="Times New Roman"/>
          <w:b/>
          <w:color w:val="auto"/>
          <w:kern w:val="2"/>
          <w:sz w:val="21"/>
          <w:szCs w:val="21"/>
          <w:highlight w:val="none"/>
        </w:rPr>
        <w:t>十</w:t>
      </w:r>
      <w:r>
        <w:rPr>
          <w:rFonts w:ascii="Times New Roman"/>
          <w:b/>
          <w:color w:val="auto"/>
          <w:kern w:val="2"/>
          <w:sz w:val="21"/>
          <w:szCs w:val="21"/>
          <w:highlight w:val="none"/>
        </w:rPr>
        <w:t>三条</w:t>
      </w:r>
      <w:r>
        <w:rPr>
          <w:rFonts w:hint="eastAsia"/>
          <w:b/>
          <w:color w:val="auto"/>
          <w:kern w:val="2"/>
          <w:sz w:val="21"/>
          <w:szCs w:val="21"/>
          <w:highlight w:val="none"/>
        </w:rPr>
        <w:t xml:space="preserve">  </w:t>
      </w:r>
      <w:r>
        <w:rPr>
          <w:rFonts w:ascii="Times New Roman"/>
          <w:b/>
          <w:color w:val="auto"/>
          <w:kern w:val="2"/>
          <w:sz w:val="21"/>
          <w:szCs w:val="21"/>
          <w:highlight w:val="none"/>
        </w:rPr>
        <w:t>被保险人或者受益人在未发生保险事故的情况下，谎称发生了保险事故，向保险人提出赔偿或者给付保险金的请求的，保险人有权解除</w:t>
      </w:r>
      <w:r>
        <w:rPr>
          <w:rFonts w:hint="eastAsia" w:ascii="Times New Roman"/>
          <w:b/>
          <w:color w:val="auto"/>
          <w:kern w:val="2"/>
          <w:sz w:val="21"/>
          <w:szCs w:val="21"/>
          <w:highlight w:val="none"/>
        </w:rPr>
        <w:t>本附加险合同</w:t>
      </w:r>
      <w:r>
        <w:rPr>
          <w:rFonts w:ascii="Times New Roman"/>
          <w:b/>
          <w:color w:val="auto"/>
          <w:kern w:val="2"/>
          <w:sz w:val="21"/>
          <w:szCs w:val="21"/>
          <w:highlight w:val="none"/>
        </w:rPr>
        <w:t>，并不退还保险费。</w:t>
      </w:r>
    </w:p>
    <w:p>
      <w:pPr>
        <w:adjustRightInd w:val="0"/>
        <w:snapToGrid w:val="0"/>
        <w:spacing w:after="156" w:afterLines="50"/>
        <w:ind w:firstLine="422" w:firstLineChars="200"/>
        <w:rPr>
          <w:rFonts w:ascii="Times New Roman"/>
          <w:b/>
          <w:color w:val="auto"/>
          <w:kern w:val="2"/>
          <w:sz w:val="21"/>
          <w:szCs w:val="21"/>
          <w:highlight w:val="none"/>
        </w:rPr>
      </w:pPr>
      <w:r>
        <w:rPr>
          <w:rFonts w:ascii="Times New Roman"/>
          <w:b/>
          <w:color w:val="auto"/>
          <w:kern w:val="2"/>
          <w:sz w:val="21"/>
          <w:szCs w:val="21"/>
          <w:highlight w:val="none"/>
        </w:rPr>
        <w:t>投保人、被保险人故意制造保险事故的，保险人有权解除</w:t>
      </w:r>
      <w:r>
        <w:rPr>
          <w:rFonts w:hint="eastAsia" w:ascii="Times New Roman"/>
          <w:b/>
          <w:color w:val="auto"/>
          <w:kern w:val="2"/>
          <w:sz w:val="21"/>
          <w:szCs w:val="21"/>
          <w:highlight w:val="none"/>
        </w:rPr>
        <w:t>本附加险合同</w:t>
      </w:r>
      <w:r>
        <w:rPr>
          <w:rFonts w:ascii="Times New Roman"/>
          <w:b/>
          <w:color w:val="auto"/>
          <w:kern w:val="2"/>
          <w:sz w:val="21"/>
          <w:szCs w:val="21"/>
          <w:highlight w:val="none"/>
        </w:rPr>
        <w:t>，不承担赔偿或者给付保险金的责任，也不退还保险费。</w:t>
      </w:r>
    </w:p>
    <w:p>
      <w:pPr>
        <w:adjustRightInd w:val="0"/>
        <w:snapToGrid w:val="0"/>
        <w:spacing w:after="156" w:afterLines="50"/>
        <w:ind w:firstLine="422" w:firstLineChars="200"/>
        <w:rPr>
          <w:rFonts w:ascii="Times New Roman"/>
          <w:color w:val="auto"/>
          <w:kern w:val="2"/>
          <w:sz w:val="21"/>
          <w:szCs w:val="21"/>
          <w:highlight w:val="none"/>
        </w:rPr>
      </w:pPr>
      <w:r>
        <w:rPr>
          <w:rFonts w:ascii="Times New Roman"/>
          <w:b/>
          <w:color w:val="auto"/>
          <w:kern w:val="2"/>
          <w:sz w:val="21"/>
          <w:szCs w:val="21"/>
          <w:highlight w:val="none"/>
        </w:rPr>
        <w:t>保险事故发生后，投保人、被保险人或者受益人以伪造、变造的有关证明、资料或者其他证据，编造虚假的事故原因或者夸大损失程度的，保险人对其虚报部分不承担赔偿或者给付保险金的责任。</w:t>
      </w:r>
    </w:p>
    <w:p>
      <w:pPr>
        <w:adjustRightInd w:val="0"/>
        <w:snapToGrid w:val="0"/>
        <w:spacing w:after="156" w:afterLines="50"/>
        <w:ind w:firstLine="422" w:firstLineChars="200"/>
        <w:rPr>
          <w:rFonts w:ascii="Times New Roman"/>
          <w:b/>
          <w:color w:val="auto"/>
          <w:kern w:val="2"/>
          <w:sz w:val="21"/>
          <w:szCs w:val="21"/>
          <w:highlight w:val="none"/>
        </w:rPr>
      </w:pPr>
      <w:r>
        <w:rPr>
          <w:rFonts w:ascii="Times New Roman"/>
          <w:b/>
          <w:color w:val="auto"/>
          <w:kern w:val="2"/>
          <w:sz w:val="21"/>
          <w:szCs w:val="21"/>
          <w:highlight w:val="none"/>
        </w:rPr>
        <w:t>投保人、被保险人或者受益人有前三款规定行为之一，致使保险人支付保险金或者支出费用的，应当予以退还或者赔偿。</w:t>
      </w:r>
    </w:p>
    <w:p>
      <w:pPr>
        <w:adjustRightInd w:val="0"/>
        <w:snapToGrid w:val="0"/>
        <w:spacing w:after="156" w:afterLines="50"/>
        <w:ind w:firstLine="422" w:firstLineChars="200"/>
        <w:rPr>
          <w:rFonts w:hAnsi="宋体" w:cs="宋体"/>
          <w:b/>
          <w:color w:val="auto"/>
          <w:kern w:val="2"/>
          <w:sz w:val="21"/>
          <w:szCs w:val="21"/>
          <w:highlight w:val="none"/>
        </w:rPr>
      </w:pPr>
      <w:r>
        <w:rPr>
          <w:rFonts w:ascii="Times New Roman"/>
          <w:b/>
          <w:color w:val="auto"/>
          <w:kern w:val="2"/>
          <w:sz w:val="21"/>
          <w:szCs w:val="21"/>
          <w:highlight w:val="none"/>
        </w:rPr>
        <w:t>第</w:t>
      </w:r>
      <w:r>
        <w:rPr>
          <w:rFonts w:hint="eastAsia" w:ascii="Times New Roman"/>
          <w:b/>
          <w:color w:val="auto"/>
          <w:kern w:val="2"/>
          <w:sz w:val="21"/>
          <w:szCs w:val="21"/>
          <w:highlight w:val="none"/>
        </w:rPr>
        <w:t>十</w:t>
      </w:r>
      <w:r>
        <w:rPr>
          <w:rFonts w:ascii="Times New Roman"/>
          <w:b/>
          <w:color w:val="auto"/>
          <w:kern w:val="2"/>
          <w:sz w:val="21"/>
          <w:szCs w:val="21"/>
          <w:highlight w:val="none"/>
        </w:rPr>
        <w:t>四条</w:t>
      </w:r>
      <w:r>
        <w:rPr>
          <w:rFonts w:hint="eastAsia"/>
          <w:b/>
          <w:color w:val="auto"/>
          <w:kern w:val="2"/>
          <w:sz w:val="21"/>
          <w:szCs w:val="21"/>
          <w:highlight w:val="none"/>
        </w:rPr>
        <w:t xml:space="preserve">  </w:t>
      </w:r>
      <w:r>
        <w:rPr>
          <w:rFonts w:hint="eastAsia" w:hAnsi="宋体" w:cs="宋体"/>
          <w:color w:val="auto"/>
          <w:kern w:val="2"/>
          <w:sz w:val="21"/>
          <w:szCs w:val="21"/>
          <w:highlight w:val="none"/>
        </w:rPr>
        <w:t>保险金申请人向保险人请求给付保险金的诉讼时效依据中华人民共和国法律（</w:t>
      </w:r>
      <w:bookmarkStart w:id="1" w:name="_Hlk22029879"/>
      <w:r>
        <w:rPr>
          <w:rFonts w:hint="eastAsia" w:hAnsi="宋体" w:cs="宋体"/>
          <w:color w:val="auto"/>
          <w:kern w:val="2"/>
          <w:sz w:val="21"/>
          <w:szCs w:val="21"/>
          <w:highlight w:val="none"/>
        </w:rPr>
        <w:t>为本附加险合同之目的，</w:t>
      </w:r>
      <w:r>
        <w:rPr>
          <w:rFonts w:hint="eastAsia" w:hAnsi="宋体" w:cs="宋体"/>
          <w:b/>
          <w:bCs/>
          <w:color w:val="auto"/>
          <w:kern w:val="2"/>
          <w:sz w:val="21"/>
          <w:szCs w:val="21"/>
          <w:highlight w:val="none"/>
        </w:rPr>
        <w:t>不包括香港、澳门及台湾地区的法律</w:t>
      </w:r>
      <w:bookmarkEnd w:id="1"/>
      <w:r>
        <w:rPr>
          <w:rFonts w:hint="eastAsia" w:hAnsi="宋体" w:cs="宋体"/>
          <w:color w:val="auto"/>
          <w:kern w:val="2"/>
          <w:sz w:val="21"/>
          <w:szCs w:val="21"/>
          <w:highlight w:val="none"/>
        </w:rPr>
        <w:t>）确定，自其知道或者应当知道保险事故发生之日起计算。</w:t>
      </w:r>
      <w:r>
        <w:rPr>
          <w:rFonts w:hint="eastAsia" w:hAnsi="宋体" w:cs="宋体"/>
          <w:b/>
          <w:color w:val="auto"/>
          <w:kern w:val="2"/>
          <w:sz w:val="21"/>
          <w:szCs w:val="21"/>
          <w:highlight w:val="none"/>
          <w:lang w:bidi="ar"/>
        </w:rPr>
        <w:t xml:space="preserve"> </w:t>
      </w:r>
    </w:p>
    <w:p>
      <w:pPr>
        <w:adjustRightInd w:val="0"/>
        <w:snapToGrid w:val="0"/>
        <w:spacing w:after="156" w:afterLines="50"/>
        <w:jc w:val="center"/>
        <w:rPr>
          <w:rFonts w:hAnsi="宋体" w:cs="宋体"/>
          <w:b/>
          <w:color w:val="auto"/>
          <w:kern w:val="2"/>
          <w:sz w:val="21"/>
          <w:szCs w:val="21"/>
          <w:highlight w:val="none"/>
        </w:rPr>
      </w:pPr>
      <w:r>
        <w:rPr>
          <w:rFonts w:hint="eastAsia" w:hAnsi="宋体" w:cs="宋体"/>
          <w:b/>
          <w:color w:val="auto"/>
          <w:kern w:val="2"/>
          <w:sz w:val="21"/>
          <w:szCs w:val="21"/>
          <w:highlight w:val="none"/>
        </w:rPr>
        <w:t>释义</w:t>
      </w:r>
    </w:p>
    <w:p>
      <w:pPr>
        <w:pStyle w:val="6"/>
        <w:adjustRightInd w:val="0"/>
        <w:snapToGrid w:val="0"/>
        <w:spacing w:before="0" w:beforeAutospacing="0" w:after="156" w:afterLines="50" w:afterAutospacing="0"/>
        <w:ind w:firstLine="422" w:firstLineChars="200"/>
        <w:jc w:val="both"/>
        <w:rPr>
          <w:color w:val="auto"/>
          <w:kern w:val="2"/>
          <w:sz w:val="21"/>
          <w:szCs w:val="21"/>
          <w:highlight w:val="none"/>
        </w:rPr>
      </w:pPr>
      <w:r>
        <w:rPr>
          <w:rFonts w:hint="eastAsia"/>
          <w:b/>
          <w:color w:val="auto"/>
          <w:kern w:val="2"/>
          <w:sz w:val="21"/>
          <w:szCs w:val="21"/>
          <w:highlight w:val="none"/>
        </w:rPr>
        <w:t>1、保险人</w:t>
      </w:r>
      <w:r>
        <w:rPr>
          <w:rFonts w:hint="eastAsia"/>
          <w:color w:val="auto"/>
          <w:kern w:val="2"/>
          <w:sz w:val="21"/>
          <w:szCs w:val="21"/>
          <w:highlight w:val="none"/>
        </w:rPr>
        <w:t>：指与投保人签订本附加险合同的华农财产保险股份有限公司及其分支机构。</w:t>
      </w:r>
    </w:p>
    <w:p>
      <w:pPr>
        <w:adjustRightInd w:val="0"/>
        <w:snapToGrid w:val="0"/>
        <w:spacing w:after="156" w:afterLines="50"/>
        <w:ind w:firstLine="422" w:firstLineChars="200"/>
        <w:rPr>
          <w:color w:val="auto"/>
          <w:kern w:val="2"/>
          <w:sz w:val="21"/>
          <w:szCs w:val="21"/>
          <w:highlight w:val="none"/>
        </w:rPr>
      </w:pPr>
      <w:r>
        <w:rPr>
          <w:rFonts w:hint="eastAsia" w:hAnsi="宋体" w:cs="宋体"/>
          <w:b/>
          <w:color w:val="auto"/>
          <w:kern w:val="2"/>
          <w:sz w:val="21"/>
          <w:szCs w:val="21"/>
          <w:highlight w:val="none"/>
        </w:rPr>
        <w:t>2、等待期：</w:t>
      </w:r>
      <w:r>
        <w:rPr>
          <w:rFonts w:hint="eastAsia" w:hAnsi="宋体" w:cs="宋体"/>
          <w:bCs/>
          <w:color w:val="auto"/>
          <w:kern w:val="2"/>
          <w:sz w:val="21"/>
          <w:szCs w:val="21"/>
          <w:highlight w:val="none"/>
        </w:rPr>
        <w:t>指自本附加险合同生效日起计算的一段时间，具体天数由保险人和投保人在投保时约定并在本附加险合同中载明。在等待期内发生保险事故的</w:t>
      </w:r>
      <w:r>
        <w:rPr>
          <w:rFonts w:hAnsi="宋体" w:cs="宋体"/>
          <w:bCs/>
          <w:color w:val="auto"/>
          <w:kern w:val="2"/>
          <w:sz w:val="21"/>
          <w:szCs w:val="21"/>
          <w:highlight w:val="none"/>
        </w:rPr>
        <w:t>,</w:t>
      </w:r>
      <w:r>
        <w:rPr>
          <w:rFonts w:hint="eastAsia" w:hAnsi="宋体" w:cs="宋体"/>
          <w:b/>
          <w:color w:val="auto"/>
          <w:kern w:val="2"/>
          <w:sz w:val="21"/>
          <w:szCs w:val="21"/>
          <w:highlight w:val="none"/>
        </w:rPr>
        <w:t>保险人不承担给付保险金的责任。</w:t>
      </w:r>
    </w:p>
    <w:p>
      <w:pPr>
        <w:adjustRightInd w:val="0"/>
        <w:snapToGrid w:val="0"/>
        <w:spacing w:after="156" w:afterLines="50"/>
        <w:ind w:firstLine="422" w:firstLineChars="200"/>
        <w:rPr>
          <w:rFonts w:hAnsi="宋体" w:cs="宋体"/>
          <w:bCs/>
          <w:color w:val="auto"/>
          <w:kern w:val="2"/>
          <w:sz w:val="21"/>
          <w:szCs w:val="21"/>
          <w:highlight w:val="none"/>
        </w:rPr>
      </w:pPr>
      <w:r>
        <w:rPr>
          <w:rFonts w:hint="eastAsia"/>
          <w:b/>
          <w:bCs/>
          <w:color w:val="auto"/>
          <w:kern w:val="2"/>
          <w:sz w:val="21"/>
          <w:szCs w:val="21"/>
          <w:highlight w:val="none"/>
        </w:rPr>
        <w:t>3</w:t>
      </w:r>
      <w:r>
        <w:rPr>
          <w:rFonts w:hint="eastAsia" w:hAnsi="宋体" w:cs="宋体"/>
          <w:b/>
          <w:color w:val="auto"/>
          <w:kern w:val="2"/>
          <w:sz w:val="21"/>
          <w:szCs w:val="21"/>
          <w:highlight w:val="none"/>
        </w:rPr>
        <w:t>、医院：</w:t>
      </w:r>
      <w:r>
        <w:rPr>
          <w:rFonts w:hint="eastAsia" w:hAnsi="宋体" w:cs="宋体"/>
          <w:bCs/>
          <w:color w:val="auto"/>
          <w:kern w:val="2"/>
          <w:sz w:val="21"/>
          <w:szCs w:val="21"/>
          <w:highlight w:val="none"/>
        </w:rPr>
        <w:t>是指经中华人民共和国卫生部门审核认定的二级或以上的综合性或专科医院或保险人认可的医疗机构</w:t>
      </w:r>
      <w:r>
        <w:rPr>
          <w:rFonts w:hint="eastAsia" w:hAnsi="宋体" w:cs="宋体"/>
          <w:b/>
          <w:color w:val="auto"/>
          <w:kern w:val="2"/>
          <w:sz w:val="21"/>
          <w:szCs w:val="21"/>
          <w:highlight w:val="none"/>
        </w:rPr>
        <w:t>，不包括如下机构或医疗服务</w:t>
      </w:r>
      <w:r>
        <w:rPr>
          <w:rFonts w:hint="eastAsia" w:hAnsi="宋体" w:cs="宋体"/>
          <w:bCs/>
          <w:color w:val="auto"/>
          <w:kern w:val="2"/>
          <w:sz w:val="21"/>
          <w:szCs w:val="21"/>
          <w:highlight w:val="none"/>
        </w:rPr>
        <w:t>：</w:t>
      </w:r>
    </w:p>
    <w:p>
      <w:pPr>
        <w:adjustRightInd w:val="0"/>
        <w:snapToGrid w:val="0"/>
        <w:spacing w:after="156" w:afterLines="50"/>
        <w:ind w:firstLine="422" w:firstLineChars="200"/>
        <w:rPr>
          <w:rFonts w:hAnsi="宋体" w:cs="宋体"/>
          <w:b/>
          <w:color w:val="auto"/>
          <w:kern w:val="2"/>
          <w:sz w:val="21"/>
          <w:szCs w:val="21"/>
          <w:highlight w:val="none"/>
        </w:rPr>
      </w:pPr>
      <w:r>
        <w:rPr>
          <w:rFonts w:hint="eastAsia" w:hAnsi="宋体" w:cs="宋体"/>
          <w:b/>
          <w:color w:val="auto"/>
          <w:kern w:val="2"/>
          <w:sz w:val="21"/>
          <w:szCs w:val="21"/>
          <w:highlight w:val="none"/>
        </w:rPr>
        <w:t>（1）</w:t>
      </w:r>
      <w:r>
        <w:rPr>
          <w:rFonts w:hAnsi="宋体" w:cs="宋体"/>
          <w:b/>
          <w:color w:val="auto"/>
          <w:kern w:val="2"/>
          <w:sz w:val="21"/>
          <w:szCs w:val="21"/>
          <w:highlight w:val="none"/>
        </w:rPr>
        <w:t>特需医疗、外宾医疗、干部病房、联合病房、国际医疗中心、VIP部、联合医院；</w:t>
      </w:r>
    </w:p>
    <w:p>
      <w:pPr>
        <w:adjustRightInd w:val="0"/>
        <w:snapToGrid w:val="0"/>
        <w:spacing w:after="156" w:afterLines="50"/>
        <w:ind w:firstLine="422" w:firstLineChars="200"/>
        <w:rPr>
          <w:rFonts w:hAnsi="宋体" w:cs="宋体"/>
          <w:b/>
          <w:color w:val="auto"/>
          <w:kern w:val="2"/>
          <w:sz w:val="21"/>
          <w:szCs w:val="21"/>
          <w:highlight w:val="none"/>
        </w:rPr>
      </w:pPr>
      <w:r>
        <w:rPr>
          <w:rFonts w:hint="eastAsia" w:hAnsi="宋体" w:cs="宋体"/>
          <w:b/>
          <w:color w:val="auto"/>
          <w:kern w:val="2"/>
          <w:sz w:val="21"/>
          <w:szCs w:val="21"/>
          <w:highlight w:val="none"/>
        </w:rPr>
        <w:t>（2）</w:t>
      </w:r>
      <w:r>
        <w:rPr>
          <w:rFonts w:hAnsi="宋体" w:cs="宋体"/>
          <w:b/>
          <w:color w:val="auto"/>
          <w:kern w:val="2"/>
          <w:sz w:val="21"/>
          <w:szCs w:val="21"/>
          <w:highlight w:val="none"/>
        </w:rPr>
        <w:t>诊所、康复中心、家庭病床、护理机构；</w:t>
      </w:r>
    </w:p>
    <w:p>
      <w:pPr>
        <w:adjustRightInd w:val="0"/>
        <w:snapToGrid w:val="0"/>
        <w:spacing w:after="156" w:afterLines="50"/>
        <w:ind w:firstLine="422" w:firstLineChars="200"/>
        <w:rPr>
          <w:rFonts w:hAnsi="宋体" w:cs="宋体"/>
          <w:b/>
          <w:color w:val="auto"/>
          <w:kern w:val="2"/>
          <w:sz w:val="21"/>
          <w:szCs w:val="21"/>
          <w:highlight w:val="none"/>
        </w:rPr>
      </w:pPr>
      <w:r>
        <w:rPr>
          <w:rFonts w:hint="eastAsia" w:hAnsi="宋体" w:cs="宋体"/>
          <w:b/>
          <w:color w:val="auto"/>
          <w:kern w:val="2"/>
          <w:sz w:val="21"/>
          <w:szCs w:val="21"/>
          <w:highlight w:val="none"/>
        </w:rPr>
        <w:t>（3）</w:t>
      </w:r>
      <w:r>
        <w:rPr>
          <w:rFonts w:hAnsi="宋体" w:cs="宋体"/>
          <w:b/>
          <w:color w:val="auto"/>
          <w:kern w:val="2"/>
          <w:sz w:val="21"/>
          <w:szCs w:val="21"/>
          <w:highlight w:val="none"/>
        </w:rPr>
        <w:t>休养、戒酒、戒毒中心。</w:t>
      </w:r>
    </w:p>
    <w:p>
      <w:pPr>
        <w:adjustRightInd w:val="0"/>
        <w:snapToGrid w:val="0"/>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该医院必须具有系统的、充分的诊断设备，全套外科手术设备及提供二十四小时的医疗与护理服务的能力和资质。</w:t>
      </w:r>
    </w:p>
    <w:p>
      <w:pPr>
        <w:adjustRightInd w:val="0"/>
        <w:snapToGrid w:val="0"/>
        <w:spacing w:after="156" w:afterLines="50"/>
        <w:ind w:firstLine="422" w:firstLineChars="200"/>
        <w:rPr>
          <w:rFonts w:hAnsi="宋体" w:cs="宋体"/>
          <w:bCs/>
          <w:color w:val="auto"/>
          <w:kern w:val="2"/>
          <w:sz w:val="21"/>
          <w:szCs w:val="21"/>
          <w:highlight w:val="none"/>
        </w:rPr>
      </w:pPr>
      <w:r>
        <w:rPr>
          <w:rFonts w:hint="eastAsia" w:hAnsi="宋体" w:cs="宋体"/>
          <w:b/>
          <w:color w:val="auto"/>
          <w:kern w:val="2"/>
          <w:sz w:val="21"/>
          <w:szCs w:val="21"/>
          <w:highlight w:val="none"/>
        </w:rPr>
        <w:t>4、专科医生：</w:t>
      </w:r>
      <w:r>
        <w:rPr>
          <w:rFonts w:hint="eastAsia" w:hAnsi="宋体" w:cs="宋体"/>
          <w:bCs/>
          <w:color w:val="auto"/>
          <w:kern w:val="2"/>
          <w:sz w:val="21"/>
          <w:szCs w:val="21"/>
          <w:highlight w:val="none"/>
        </w:rPr>
        <w:t>专科医生应当同时满足以下四项资格条件：</w:t>
      </w:r>
    </w:p>
    <w:p>
      <w:pPr>
        <w:adjustRightInd w:val="0"/>
        <w:snapToGrid w:val="0"/>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（1）具有有效的中华人民共和国《医师资格证书》；</w:t>
      </w:r>
    </w:p>
    <w:p>
      <w:pPr>
        <w:adjustRightInd w:val="0"/>
        <w:snapToGrid w:val="0"/>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（2）具有有效的中华人民共和国《医师执业证书》，并按期到相关部门登记注册；</w:t>
      </w:r>
    </w:p>
    <w:p>
      <w:pPr>
        <w:adjustRightInd w:val="0"/>
        <w:snapToGrid w:val="0"/>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（3）具有有效的中华人民共和国主治医师或主治医师以上职称的《医师职称证书》；</w:t>
      </w:r>
    </w:p>
    <w:p>
      <w:pPr>
        <w:adjustRightInd w:val="0"/>
        <w:snapToGrid w:val="0"/>
        <w:spacing w:after="156" w:afterLines="50"/>
        <w:ind w:firstLine="420" w:firstLineChars="200"/>
        <w:rPr>
          <w:rFonts w:hAnsi="宋体" w:cs="宋体"/>
          <w:bCs/>
          <w:color w:val="auto"/>
          <w:kern w:val="2"/>
          <w:sz w:val="21"/>
          <w:szCs w:val="21"/>
          <w:highlight w:val="none"/>
        </w:rPr>
      </w:pPr>
      <w:r>
        <w:rPr>
          <w:rFonts w:hint="eastAsia" w:hAnsi="宋体" w:cs="宋体"/>
          <w:bCs/>
          <w:color w:val="auto"/>
          <w:kern w:val="2"/>
          <w:sz w:val="21"/>
          <w:szCs w:val="21"/>
          <w:highlight w:val="none"/>
        </w:rPr>
        <w:t>（4）在国家《医院分级管理标准》二级或二级以上医院的相应科室从事临床工作三年以上</w:t>
      </w:r>
      <w:r>
        <w:rPr>
          <w:rFonts w:hint="eastAsia" w:hAnsi="宋体" w:cs="宋体"/>
          <w:b w:val="0"/>
          <w:bCs/>
          <w:color w:val="auto"/>
          <w:kern w:val="2"/>
          <w:sz w:val="21"/>
          <w:szCs w:val="21"/>
          <w:highlight w:val="none"/>
        </w:rPr>
        <w:t>。</w:t>
      </w:r>
    </w:p>
    <w:p>
      <w:pPr>
        <w:adjustRightInd w:val="0"/>
        <w:snapToGrid w:val="0"/>
        <w:spacing w:after="156" w:afterLines="50"/>
        <w:ind w:firstLine="422" w:firstLineChars="200"/>
        <w:rPr>
          <w:rFonts w:hAnsi="宋体" w:cs="宋体"/>
          <w:b/>
          <w:color w:val="auto"/>
          <w:kern w:val="2"/>
          <w:sz w:val="21"/>
          <w:szCs w:val="21"/>
          <w:highlight w:val="none"/>
        </w:rPr>
      </w:pPr>
      <w:r>
        <w:rPr>
          <w:rFonts w:hint="eastAsia" w:hAnsi="宋体" w:cs="宋体"/>
          <w:b/>
          <w:color w:val="auto"/>
          <w:kern w:val="2"/>
          <w:sz w:val="21"/>
          <w:szCs w:val="21"/>
          <w:highlight w:val="none"/>
        </w:rPr>
        <w:t>5、重大疾病：</w:t>
      </w:r>
      <w:r>
        <w:rPr>
          <w:rFonts w:hint="eastAsia" w:hAnsi="宋体" w:cs="宋体"/>
          <w:bCs/>
          <w:color w:val="auto"/>
          <w:kern w:val="2"/>
          <w:sz w:val="21"/>
          <w:szCs w:val="21"/>
          <w:highlight w:val="none"/>
        </w:rPr>
        <w:t>是指符合下列定义的疾病或被保险人首次接受符合下列定义的手术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（一）恶性肿瘤——重度</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指恶性细胞不受控制的进行性增长和扩散，浸润和破坏周围正常组织，可以经血管、淋巴管和体腔扩散转移到身体其他部位，病灶经</w:t>
      </w:r>
      <w:r>
        <w:rPr>
          <w:rFonts w:hint="eastAsia" w:hAnsi="宋体"/>
          <w:b/>
          <w:color w:val="auto"/>
          <w:kern w:val="2"/>
          <w:sz w:val="21"/>
          <w:szCs w:val="21"/>
          <w:highlight w:val="none"/>
        </w:rPr>
        <w:t>组织病理学检查</w:t>
      </w:r>
      <w:r>
        <w:rPr>
          <w:rFonts w:hint="eastAsia" w:hAnsi="宋体"/>
          <w:bCs/>
          <w:color w:val="auto"/>
          <w:kern w:val="2"/>
          <w:sz w:val="21"/>
          <w:szCs w:val="21"/>
          <w:highlight w:val="none"/>
        </w:rPr>
        <w:t>（释义14，涵盖骨髓病理学检查）结果明确诊断，临床诊断属于世界卫生组织（WHO，World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下列疾病不属于“恶性肿瘤——重度”，不在保障范围内：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（1）ICD-O-3肿瘤形态学编码属于0（良性肿瘤）、1（动态未定性肿瘤）、2（原位癌和非侵袭性癌）范畴的疾病，如：</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①原位癌，癌前病变，非浸润性癌，非侵袭性癌，肿瘤细胞未侵犯基底层，上皮内瘤变，细胞不典型性增生等；</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②交界性肿瘤，交界恶性肿瘤，肿瘤低度恶性潜能，潜在低度恶性肿瘤等；</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（2）TNM分期为Ⅰ期或更轻分期的甲状腺癌；</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（3）TNM分期为T1N0M0期或更轻分期的前列腺癌；</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（4）黑色素瘤以外的未发生淋巴结和远处转移的皮肤恶性肿瘤；</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（5）相当于Binet分期方案A期程度的慢性淋巴细胞白血病；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（6）相当于Ann Arbor分期方案Ⅰ期程度的何杰金氏病；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（7）未发生淋巴结和远处转移且WHO分级为G1级别（核分裂像&lt;10/50 HPF 和ki-67≤2%）或更轻分级的神经内分泌肿瘤。</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keepNext w:val="0"/>
        <w:keepLines w:val="0"/>
        <w:pageBreakBefore w:val="0"/>
        <w:widowControl/>
        <w:kinsoku/>
        <w:wordWrap/>
        <w:overflowPunct/>
        <w:topLinePunct w:val="0"/>
        <w:bidi w:val="0"/>
        <w:adjustRightInd w:val="0"/>
        <w:snapToGrid w:val="0"/>
        <w:spacing w:before="100" w:beforeAutospacing="1" w:after="156" w:afterLines="50" w:afterAutospacing="0" w:line="240" w:lineRule="auto"/>
        <w:ind w:firstLine="422" w:firstLineChars="200"/>
        <w:jc w:val="both"/>
        <w:textAlignment w:val="auto"/>
        <w:rPr>
          <w:rFonts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甲状腺癌的TNM分期采用目前现行的AJCC第八版定义标准，我国国家卫生健康委员会2018年发布的《甲状腺癌诊疗规范（2018年版）》也采用此定义标准，具体见下：</w:t>
      </w:r>
    </w:p>
    <w:p>
      <w:pPr>
        <w:keepNext w:val="0"/>
        <w:keepLines w:val="0"/>
        <w:pageBreakBefore w:val="0"/>
        <w:widowControl/>
        <w:kinsoku/>
        <w:wordWrap/>
        <w:overflowPunct/>
        <w:topLinePunct w:val="0"/>
        <w:bidi w:val="0"/>
        <w:adjustRightInd w:val="0"/>
        <w:snapToGrid w:val="0"/>
        <w:spacing w:before="100" w:beforeAutospacing="1" w:after="156" w:afterLines="50" w:afterAutospacing="0" w:line="240" w:lineRule="auto"/>
        <w:ind w:firstLine="422" w:firstLineChars="200"/>
        <w:jc w:val="both"/>
        <w:textAlignment w:val="auto"/>
        <w:rPr>
          <w:rFonts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甲状腺乳头状癌、滤泡癌、低分化癌、Hürthle细胞癌和未分化癌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X</w:t>
      </w:r>
      <w:r>
        <w:rPr>
          <w:rFonts w:hAnsi="宋体" w:cs="宋体"/>
          <w:b/>
          <w:bCs/>
          <w:color w:val="auto"/>
          <w:kern w:val="2"/>
          <w:sz w:val="21"/>
          <w:szCs w:val="21"/>
          <w:highlight w:val="none"/>
        </w:rPr>
        <w:t>：原发肿瘤不能评估</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0</w:t>
      </w:r>
      <w:r>
        <w:rPr>
          <w:rFonts w:hAnsi="宋体" w:cs="宋体"/>
          <w:b/>
          <w:bCs/>
          <w:color w:val="auto"/>
          <w:kern w:val="2"/>
          <w:sz w:val="21"/>
          <w:szCs w:val="21"/>
          <w:highlight w:val="none"/>
        </w:rPr>
        <w:t>：无肿瘤证据</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1</w:t>
      </w:r>
      <w:r>
        <w:rPr>
          <w:rFonts w:hAnsi="宋体" w:cs="宋体"/>
          <w:b/>
          <w:bCs/>
          <w:color w:val="auto"/>
          <w:kern w:val="2"/>
          <w:sz w:val="21"/>
          <w:szCs w:val="21"/>
          <w:highlight w:val="none"/>
        </w:rPr>
        <w:t>：肿瘤局限在甲状腺内，最大径≤2cm</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outlineLvl w:val="0"/>
        <w:rPr>
          <w:rFonts w:hAnsi="宋体" w:cs="宋体"/>
          <w:b/>
          <w:bCs/>
          <w:color w:val="auto"/>
          <w:kern w:val="2"/>
          <w:sz w:val="21"/>
          <w:szCs w:val="21"/>
          <w:highlight w:val="none"/>
        </w:rPr>
      </w:pPr>
      <w:r>
        <w:rPr>
          <w:rFonts w:hAnsi="宋体" w:cs="宋体"/>
          <w:b/>
          <w:bCs/>
          <w:color w:val="auto"/>
          <w:kern w:val="2"/>
          <w:sz w:val="21"/>
          <w:szCs w:val="21"/>
          <w:highlight w:val="none"/>
        </w:rPr>
        <w:t>T</w:t>
      </w:r>
      <w:r>
        <w:rPr>
          <w:rFonts w:hAnsi="宋体" w:cs="宋体"/>
          <w:b/>
          <w:bCs/>
          <w:color w:val="auto"/>
          <w:kern w:val="2"/>
          <w:sz w:val="21"/>
          <w:szCs w:val="21"/>
          <w:highlight w:val="none"/>
          <w:vertAlign w:val="subscript"/>
        </w:rPr>
        <w:t>1a</w:t>
      </w:r>
      <w:r>
        <w:rPr>
          <w:rFonts w:hAnsi="宋体" w:cs="宋体"/>
          <w:b/>
          <w:bCs/>
          <w:color w:val="auto"/>
          <w:kern w:val="2"/>
          <w:sz w:val="21"/>
          <w:szCs w:val="21"/>
          <w:highlight w:val="none"/>
        </w:rPr>
        <w:t>肿瘤最大径≤1cm</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outlineLvl w:val="0"/>
        <w:rPr>
          <w:rFonts w:hAnsi="宋体" w:cs="宋体"/>
          <w:b/>
          <w:bCs/>
          <w:color w:val="auto"/>
          <w:kern w:val="2"/>
          <w:sz w:val="21"/>
          <w:szCs w:val="21"/>
          <w:highlight w:val="none"/>
        </w:rPr>
      </w:pPr>
      <w:r>
        <w:rPr>
          <w:rFonts w:hAnsi="宋体" w:cs="宋体"/>
          <w:b/>
          <w:bCs/>
          <w:color w:val="auto"/>
          <w:kern w:val="2"/>
          <w:sz w:val="21"/>
          <w:szCs w:val="21"/>
          <w:highlight w:val="none"/>
        </w:rPr>
        <w:t>T</w:t>
      </w:r>
      <w:r>
        <w:rPr>
          <w:rFonts w:hAnsi="宋体" w:cs="宋体"/>
          <w:b/>
          <w:bCs/>
          <w:color w:val="auto"/>
          <w:kern w:val="2"/>
          <w:sz w:val="21"/>
          <w:szCs w:val="21"/>
          <w:highlight w:val="none"/>
          <w:vertAlign w:val="subscript"/>
        </w:rPr>
        <w:t>1b</w:t>
      </w:r>
      <w:r>
        <w:rPr>
          <w:rFonts w:hAnsi="宋体" w:cs="宋体"/>
          <w:b/>
          <w:bCs/>
          <w:color w:val="auto"/>
          <w:kern w:val="2"/>
          <w:sz w:val="21"/>
          <w:szCs w:val="21"/>
          <w:highlight w:val="none"/>
        </w:rPr>
        <w:t>肿瘤最大径＞1cm，≤2cm</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2</w:t>
      </w:r>
      <w:r>
        <w:rPr>
          <w:rFonts w:hAnsi="宋体" w:cs="宋体"/>
          <w:b/>
          <w:bCs/>
          <w:color w:val="auto"/>
          <w:kern w:val="2"/>
          <w:sz w:val="21"/>
          <w:szCs w:val="21"/>
          <w:highlight w:val="none"/>
        </w:rPr>
        <w:t>：肿瘤2～4cm</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w:t>
      </w:r>
      <w:r>
        <w:rPr>
          <w:rFonts w:hAnsi="宋体" w:cs="宋体"/>
          <w:b/>
          <w:bCs/>
          <w:color w:val="auto"/>
          <w:kern w:val="2"/>
          <w:sz w:val="21"/>
          <w:szCs w:val="21"/>
          <w:highlight w:val="none"/>
        </w:rPr>
        <w:t>：肿瘤&gt;4cm，局限于甲状腺内或大体侵犯甲状腺外带状肌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3a</w:t>
      </w:r>
      <w:r>
        <w:rPr>
          <w:rFonts w:hAnsi="宋体" w:cs="宋体"/>
          <w:b/>
          <w:bCs/>
          <w:color w:val="auto"/>
          <w:kern w:val="2"/>
          <w:sz w:val="21"/>
          <w:szCs w:val="21"/>
          <w:highlight w:val="none"/>
        </w:rPr>
        <w:t>：肿瘤&gt;4cm，局限于甲状腺内</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3b</w:t>
      </w:r>
      <w:r>
        <w:rPr>
          <w:rFonts w:hAnsi="宋体" w:cs="宋体"/>
          <w:b/>
          <w:bCs/>
          <w:color w:val="auto"/>
          <w:kern w:val="2"/>
          <w:sz w:val="21"/>
          <w:szCs w:val="21"/>
          <w:highlight w:val="none"/>
        </w:rPr>
        <w:t>：大体侵犯甲状腺外带状肌，无论肿瘤大小</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rPr>
          <w:rFonts w:hAnsi="宋体" w:cs="宋体"/>
          <w:b/>
          <w:bCs/>
          <w:color w:val="auto"/>
          <w:kern w:val="2"/>
          <w:sz w:val="21"/>
          <w:szCs w:val="21"/>
          <w:highlight w:val="none"/>
        </w:rPr>
      </w:pPr>
      <w:r>
        <w:rPr>
          <w:rFonts w:hAnsi="宋体" w:cs="宋体"/>
          <w:b/>
          <w:bCs/>
          <w:color w:val="auto"/>
          <w:kern w:val="2"/>
          <w:sz w:val="21"/>
          <w:szCs w:val="21"/>
          <w:highlight w:val="none"/>
        </w:rPr>
        <w:t>带状肌包括：胸骨舌骨肌、胸骨甲状肌、甲状舌骨肌、肩胛舌骨肌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w:t>
      </w:r>
      <w:r>
        <w:rPr>
          <w:rFonts w:hAnsi="宋体" w:cs="宋体"/>
          <w:b/>
          <w:bCs/>
          <w:color w:val="auto"/>
          <w:kern w:val="2"/>
          <w:sz w:val="21"/>
          <w:szCs w:val="21"/>
          <w:highlight w:val="none"/>
        </w:rPr>
        <w:t>：大体侵犯甲状腺外带状肌外</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4a</w:t>
      </w:r>
      <w:r>
        <w:rPr>
          <w:rFonts w:hAnsi="宋体" w:cs="宋体"/>
          <w:b/>
          <w:bCs/>
          <w:color w:val="auto"/>
          <w:kern w:val="2"/>
          <w:sz w:val="21"/>
          <w:szCs w:val="21"/>
          <w:highlight w:val="none"/>
        </w:rPr>
        <w:t>：侵犯喉、气管、食管、喉反神经及皮下软组织</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4b</w:t>
      </w:r>
      <w:r>
        <w:rPr>
          <w:rFonts w:hAnsi="宋体" w:cs="宋体"/>
          <w:b/>
          <w:bCs/>
          <w:color w:val="auto"/>
          <w:kern w:val="2"/>
          <w:sz w:val="21"/>
          <w:szCs w:val="21"/>
          <w:highlight w:val="none"/>
        </w:rPr>
        <w:t>：侵犯椎前筋膜，或包裹颈动脉、纵隔血管</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甲状腺髓样癌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X</w:t>
      </w:r>
      <w:r>
        <w:rPr>
          <w:rFonts w:hAnsi="宋体" w:cs="宋体"/>
          <w:b/>
          <w:bCs/>
          <w:color w:val="auto"/>
          <w:kern w:val="2"/>
          <w:sz w:val="21"/>
          <w:szCs w:val="21"/>
          <w:highlight w:val="none"/>
        </w:rPr>
        <w:t>：原发肿瘤不能评估</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0</w:t>
      </w:r>
      <w:r>
        <w:rPr>
          <w:rFonts w:hAnsi="宋体" w:cs="宋体"/>
          <w:b/>
          <w:bCs/>
          <w:color w:val="auto"/>
          <w:kern w:val="2"/>
          <w:sz w:val="21"/>
          <w:szCs w:val="21"/>
          <w:highlight w:val="none"/>
        </w:rPr>
        <w:t>：无肿瘤证据</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1</w:t>
      </w:r>
      <w:r>
        <w:rPr>
          <w:rFonts w:hAnsi="宋体" w:cs="宋体"/>
          <w:b/>
          <w:bCs/>
          <w:color w:val="auto"/>
          <w:kern w:val="2"/>
          <w:sz w:val="21"/>
          <w:szCs w:val="21"/>
          <w:highlight w:val="none"/>
        </w:rPr>
        <w:t>：肿瘤局限在甲状腺内，最大径≤2cm</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outlineLvl w:val="0"/>
        <w:rPr>
          <w:rFonts w:hAnsi="宋体" w:cs="宋体"/>
          <w:b/>
          <w:bCs/>
          <w:color w:val="auto"/>
          <w:kern w:val="2"/>
          <w:sz w:val="21"/>
          <w:szCs w:val="21"/>
          <w:highlight w:val="none"/>
        </w:rPr>
      </w:pPr>
      <w:r>
        <w:rPr>
          <w:rFonts w:hAnsi="宋体" w:cs="宋体"/>
          <w:b/>
          <w:bCs/>
          <w:color w:val="auto"/>
          <w:kern w:val="2"/>
          <w:sz w:val="21"/>
          <w:szCs w:val="21"/>
          <w:highlight w:val="none"/>
        </w:rPr>
        <w:t>T</w:t>
      </w:r>
      <w:r>
        <w:rPr>
          <w:rFonts w:hAnsi="宋体" w:cs="宋体"/>
          <w:b/>
          <w:bCs/>
          <w:color w:val="auto"/>
          <w:kern w:val="2"/>
          <w:sz w:val="21"/>
          <w:szCs w:val="21"/>
          <w:highlight w:val="none"/>
          <w:vertAlign w:val="subscript"/>
        </w:rPr>
        <w:t>1a</w:t>
      </w:r>
      <w:r>
        <w:rPr>
          <w:rFonts w:hAnsi="宋体" w:cs="宋体"/>
          <w:b/>
          <w:bCs/>
          <w:color w:val="auto"/>
          <w:kern w:val="2"/>
          <w:sz w:val="21"/>
          <w:szCs w:val="21"/>
          <w:highlight w:val="none"/>
        </w:rPr>
        <w:t>肿瘤最大径≤1cm</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outlineLvl w:val="0"/>
        <w:rPr>
          <w:rFonts w:hAnsi="宋体" w:cs="宋体"/>
          <w:b/>
          <w:bCs/>
          <w:color w:val="auto"/>
          <w:kern w:val="2"/>
          <w:sz w:val="21"/>
          <w:szCs w:val="21"/>
          <w:highlight w:val="none"/>
        </w:rPr>
      </w:pPr>
      <w:r>
        <w:rPr>
          <w:rFonts w:hAnsi="宋体" w:cs="宋体"/>
          <w:b/>
          <w:bCs/>
          <w:color w:val="auto"/>
          <w:kern w:val="2"/>
          <w:sz w:val="21"/>
          <w:szCs w:val="21"/>
          <w:highlight w:val="none"/>
        </w:rPr>
        <w:t>T</w:t>
      </w:r>
      <w:r>
        <w:rPr>
          <w:rFonts w:hAnsi="宋体" w:cs="宋体"/>
          <w:b/>
          <w:bCs/>
          <w:color w:val="auto"/>
          <w:kern w:val="2"/>
          <w:sz w:val="21"/>
          <w:szCs w:val="21"/>
          <w:highlight w:val="none"/>
          <w:vertAlign w:val="subscript"/>
        </w:rPr>
        <w:t>1b</w:t>
      </w:r>
      <w:r>
        <w:rPr>
          <w:rFonts w:hAnsi="宋体" w:cs="宋体"/>
          <w:b/>
          <w:bCs/>
          <w:color w:val="auto"/>
          <w:kern w:val="2"/>
          <w:sz w:val="21"/>
          <w:szCs w:val="21"/>
          <w:highlight w:val="none"/>
        </w:rPr>
        <w:t>肿瘤最大径＞1cm，≤2cm</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2</w:t>
      </w:r>
      <w:r>
        <w:rPr>
          <w:rFonts w:hAnsi="宋体" w:cs="宋体"/>
          <w:b/>
          <w:bCs/>
          <w:color w:val="auto"/>
          <w:kern w:val="2"/>
          <w:sz w:val="21"/>
          <w:szCs w:val="21"/>
          <w:highlight w:val="none"/>
        </w:rPr>
        <w:t>：肿瘤2～4cm</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w:t>
      </w:r>
      <w:r>
        <w:rPr>
          <w:rFonts w:hAnsi="宋体" w:cs="宋体"/>
          <w:b/>
          <w:bCs/>
          <w:color w:val="auto"/>
          <w:kern w:val="2"/>
          <w:sz w:val="21"/>
          <w:szCs w:val="21"/>
          <w:highlight w:val="none"/>
        </w:rPr>
        <w:t>：肿瘤&gt;4cm，局限于甲状腺内或大体侵犯甲状腺外带状肌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3a</w:t>
      </w:r>
      <w:r>
        <w:rPr>
          <w:rFonts w:hAnsi="宋体" w:cs="宋体"/>
          <w:b/>
          <w:bCs/>
          <w:color w:val="auto"/>
          <w:kern w:val="2"/>
          <w:sz w:val="21"/>
          <w:szCs w:val="21"/>
          <w:highlight w:val="none"/>
        </w:rPr>
        <w:t>：肿瘤&gt;4cm，局限于甲状腺内</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3b</w:t>
      </w:r>
      <w:r>
        <w:rPr>
          <w:rFonts w:hAnsi="宋体" w:cs="宋体"/>
          <w:b/>
          <w:bCs/>
          <w:color w:val="auto"/>
          <w:kern w:val="2"/>
          <w:sz w:val="21"/>
          <w:szCs w:val="21"/>
          <w:highlight w:val="none"/>
        </w:rPr>
        <w:t>：大体侵犯甲状腺外带状肌，无论肿瘤大小</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rPr>
          <w:rFonts w:hAnsi="宋体" w:cs="宋体"/>
          <w:b/>
          <w:bCs/>
          <w:color w:val="auto"/>
          <w:kern w:val="2"/>
          <w:sz w:val="21"/>
          <w:szCs w:val="21"/>
          <w:highlight w:val="none"/>
        </w:rPr>
      </w:pPr>
      <w:r>
        <w:rPr>
          <w:rFonts w:hAnsi="宋体" w:cs="宋体"/>
          <w:b/>
          <w:bCs/>
          <w:color w:val="auto"/>
          <w:kern w:val="2"/>
          <w:sz w:val="21"/>
          <w:szCs w:val="21"/>
          <w:highlight w:val="none"/>
        </w:rPr>
        <w:t>带状肌包括：胸骨舌骨肌、胸骨甲状肌、甲状舌骨肌、肩胛舌骨肌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w:t>
      </w:r>
      <w:r>
        <w:rPr>
          <w:rFonts w:hAnsi="宋体" w:cs="宋体"/>
          <w:b/>
          <w:bCs/>
          <w:color w:val="auto"/>
          <w:kern w:val="2"/>
          <w:sz w:val="21"/>
          <w:szCs w:val="21"/>
          <w:highlight w:val="none"/>
        </w:rPr>
        <w:t>：进展期病变</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4a</w:t>
      </w:r>
      <w:r>
        <w:rPr>
          <w:rFonts w:hAnsi="宋体" w:cs="宋体"/>
          <w:b/>
          <w:bCs/>
          <w:color w:val="auto"/>
          <w:kern w:val="2"/>
          <w:sz w:val="21"/>
          <w:szCs w:val="21"/>
          <w:highlight w:val="none"/>
        </w:rPr>
        <w:t>：中度进展，任何大小的肿瘤，侵犯甲状腺外颈部周围器官和软组织，如喉、气管、食管、喉反神经及皮下软组织</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pT</w:t>
      </w:r>
      <w:r>
        <w:rPr>
          <w:rFonts w:hAnsi="宋体" w:cs="宋体"/>
          <w:b/>
          <w:bCs/>
          <w:color w:val="auto"/>
          <w:kern w:val="2"/>
          <w:sz w:val="21"/>
          <w:szCs w:val="21"/>
          <w:highlight w:val="none"/>
          <w:vertAlign w:val="subscript"/>
        </w:rPr>
        <w:t>4b</w:t>
      </w:r>
      <w:r>
        <w:rPr>
          <w:rFonts w:hAnsi="宋体" w:cs="宋体"/>
          <w:b/>
          <w:bCs/>
          <w:color w:val="auto"/>
          <w:kern w:val="2"/>
          <w:sz w:val="21"/>
          <w:szCs w:val="21"/>
          <w:highlight w:val="none"/>
        </w:rPr>
        <w:t>：重度进展，任何大小的肿瘤，侵犯椎前筋膜，或包裹颈动脉、纵隔血管</w:t>
      </w:r>
    </w:p>
    <w:p>
      <w:pPr>
        <w:keepNext w:val="0"/>
        <w:keepLines w:val="0"/>
        <w:pageBreakBefore w:val="0"/>
        <w:numPr>
          <w:ilvl w:val="255"/>
          <w:numId w:val="0"/>
        </w:numPr>
        <w:kinsoku/>
        <w:wordWrap/>
        <w:overflowPunct/>
        <w:topLinePunct w:val="0"/>
        <w:bidi w:val="0"/>
        <w:spacing w:after="160" w:line="240" w:lineRule="auto"/>
        <w:ind w:firstLine="843" w:firstLineChars="400"/>
        <w:textAlignment w:val="auto"/>
        <w:rPr>
          <w:rFonts w:hAnsi="宋体" w:cs="宋体"/>
          <w:b/>
          <w:bCs/>
          <w:color w:val="auto"/>
          <w:kern w:val="2"/>
          <w:sz w:val="21"/>
          <w:szCs w:val="21"/>
          <w:highlight w:val="none"/>
        </w:rPr>
      </w:pPr>
      <w:r>
        <w:rPr>
          <w:rFonts w:hAnsi="宋体" w:cs="宋体"/>
          <w:b/>
          <w:bCs/>
          <w:color w:val="auto"/>
          <w:kern w:val="2"/>
          <w:sz w:val="21"/>
          <w:szCs w:val="21"/>
          <w:highlight w:val="none"/>
        </w:rPr>
        <w:t>区域淋巴结：适用于所有甲状腺癌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pN</w:t>
      </w:r>
      <w:r>
        <w:rPr>
          <w:rFonts w:hAnsi="宋体" w:cs="宋体"/>
          <w:b/>
          <w:bCs/>
          <w:color w:val="auto"/>
          <w:kern w:val="2"/>
          <w:sz w:val="21"/>
          <w:szCs w:val="21"/>
          <w:highlight w:val="none"/>
          <w:vertAlign w:val="subscript"/>
        </w:rPr>
        <w:t>x</w:t>
      </w:r>
      <w:r>
        <w:rPr>
          <w:rFonts w:hAnsi="宋体" w:cs="宋体"/>
          <w:b/>
          <w:bCs/>
          <w:color w:val="auto"/>
          <w:kern w:val="2"/>
          <w:sz w:val="21"/>
          <w:szCs w:val="21"/>
          <w:highlight w:val="none"/>
        </w:rPr>
        <w:t>：区域淋巴结无法评估</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pN</w:t>
      </w:r>
      <w:r>
        <w:rPr>
          <w:rFonts w:hAnsi="宋体" w:cs="宋体"/>
          <w:b/>
          <w:bCs/>
          <w:color w:val="auto"/>
          <w:kern w:val="2"/>
          <w:sz w:val="21"/>
          <w:szCs w:val="21"/>
          <w:highlight w:val="none"/>
          <w:vertAlign w:val="subscript"/>
        </w:rPr>
        <w:t>0</w:t>
      </w:r>
      <w:r>
        <w:rPr>
          <w:rFonts w:hAnsi="宋体" w:cs="宋体"/>
          <w:b/>
          <w:bCs/>
          <w:color w:val="auto"/>
          <w:kern w:val="2"/>
          <w:sz w:val="21"/>
          <w:szCs w:val="21"/>
          <w:highlight w:val="none"/>
        </w:rPr>
        <w:t>：无淋巴结转移证据</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pN</w:t>
      </w:r>
      <w:r>
        <w:rPr>
          <w:rFonts w:hAnsi="宋体" w:cs="宋体"/>
          <w:b/>
          <w:bCs/>
          <w:color w:val="auto"/>
          <w:kern w:val="2"/>
          <w:sz w:val="21"/>
          <w:szCs w:val="21"/>
          <w:highlight w:val="none"/>
          <w:vertAlign w:val="subscript"/>
        </w:rPr>
        <w:t>1</w:t>
      </w:r>
      <w:r>
        <w:rPr>
          <w:rFonts w:hAnsi="宋体" w:cs="宋体"/>
          <w:b/>
          <w:bCs/>
          <w:color w:val="auto"/>
          <w:kern w:val="2"/>
          <w:sz w:val="21"/>
          <w:szCs w:val="21"/>
          <w:highlight w:val="none"/>
        </w:rPr>
        <w:t>：区域淋巴结转移</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pN</w:t>
      </w:r>
      <w:r>
        <w:rPr>
          <w:rFonts w:hAnsi="宋体" w:cs="宋体"/>
          <w:b/>
          <w:bCs/>
          <w:color w:val="auto"/>
          <w:kern w:val="2"/>
          <w:sz w:val="21"/>
          <w:szCs w:val="21"/>
          <w:highlight w:val="none"/>
          <w:vertAlign w:val="subscript"/>
        </w:rPr>
        <w:t>1a</w:t>
      </w:r>
      <w:r>
        <w:rPr>
          <w:rFonts w:hAnsi="宋体" w:cs="宋体"/>
          <w:b/>
          <w:bCs/>
          <w:color w:val="auto"/>
          <w:kern w:val="2"/>
          <w:sz w:val="21"/>
          <w:szCs w:val="21"/>
          <w:highlight w:val="none"/>
        </w:rPr>
        <w:t>：转移至Ⅵ、Ⅶ区（包括气管旁、气管前、喉前/Delphian或上纵隔）淋巴结，可以为单侧或双侧。</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pN</w:t>
      </w:r>
      <w:r>
        <w:rPr>
          <w:rFonts w:hAnsi="宋体" w:cs="宋体"/>
          <w:b/>
          <w:bCs/>
          <w:color w:val="auto"/>
          <w:kern w:val="2"/>
          <w:sz w:val="21"/>
          <w:szCs w:val="21"/>
          <w:highlight w:val="none"/>
          <w:vertAlign w:val="subscript"/>
        </w:rPr>
        <w:t>1b</w:t>
      </w:r>
      <w:r>
        <w:rPr>
          <w:rFonts w:hAnsi="宋体" w:cs="宋体"/>
          <w:b/>
          <w:bCs/>
          <w:color w:val="auto"/>
          <w:kern w:val="2"/>
          <w:sz w:val="21"/>
          <w:szCs w:val="21"/>
          <w:highlight w:val="none"/>
        </w:rPr>
        <w:t>：单侧、双侧或对侧颈淋巴结转移（包括Ⅰ、Ⅱ、Ⅲ、Ⅳ或Ⅴ区）淋巴结或咽后淋巴结转移。</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cs="宋体"/>
          <w:b/>
          <w:bCs/>
          <w:color w:val="auto"/>
          <w:kern w:val="2"/>
          <w:sz w:val="21"/>
          <w:szCs w:val="21"/>
          <w:highlight w:val="none"/>
        </w:rPr>
      </w:pPr>
      <w:r>
        <w:rPr>
          <w:rFonts w:hAnsi="宋体" w:cs="宋体"/>
          <w:b/>
          <w:bCs/>
          <w:color w:val="auto"/>
          <w:kern w:val="2"/>
          <w:sz w:val="21"/>
          <w:szCs w:val="21"/>
          <w:highlight w:val="none"/>
        </w:rPr>
        <w:t>远处转移：适用于所有甲状腺癌</w:t>
      </w:r>
    </w:p>
    <w:p>
      <w:pPr>
        <w:keepNext w:val="0"/>
        <w:keepLines w:val="0"/>
        <w:pageBreakBefore w:val="0"/>
        <w:numPr>
          <w:ilvl w:val="255"/>
          <w:numId w:val="0"/>
        </w:numPr>
        <w:kinsoku/>
        <w:wordWrap/>
        <w:overflowPunct/>
        <w:topLinePunct w:val="0"/>
        <w:bidi w:val="0"/>
        <w:spacing w:after="160" w:line="240" w:lineRule="auto"/>
        <w:ind w:firstLine="422" w:firstLineChars="200"/>
        <w:textAlignment w:val="auto"/>
        <w:rPr>
          <w:rFonts w:hAnsi="宋体"/>
          <w:b/>
          <w:bCs/>
          <w:color w:val="auto"/>
          <w:kern w:val="2"/>
          <w:sz w:val="21"/>
          <w:szCs w:val="21"/>
          <w:highlight w:val="none"/>
        </w:rPr>
      </w:pPr>
      <w:r>
        <w:rPr>
          <w:rFonts w:hAnsi="宋体" w:cs="宋体"/>
          <w:b/>
          <w:bCs/>
          <w:color w:val="auto"/>
          <w:kern w:val="2"/>
          <w:sz w:val="21"/>
          <w:szCs w:val="21"/>
          <w:highlight w:val="none"/>
        </w:rPr>
        <w:t>M</w:t>
      </w:r>
      <w:r>
        <w:rPr>
          <w:rFonts w:hAnsi="宋体" w:cs="宋体"/>
          <w:b/>
          <w:bCs/>
          <w:color w:val="auto"/>
          <w:kern w:val="2"/>
          <w:sz w:val="21"/>
          <w:szCs w:val="21"/>
          <w:highlight w:val="none"/>
          <w:vertAlign w:val="subscript"/>
        </w:rPr>
        <w:t>0</w:t>
      </w:r>
      <w:r>
        <w:rPr>
          <w:rFonts w:hAnsi="宋体" w:cs="宋体"/>
          <w:b/>
          <w:bCs/>
          <w:color w:val="auto"/>
          <w:kern w:val="2"/>
          <w:sz w:val="21"/>
          <w:szCs w:val="21"/>
          <w:highlight w:val="none"/>
        </w:rPr>
        <w:t>：无远处转移</w:t>
      </w:r>
    </w:p>
    <w:p>
      <w:pPr>
        <w:keepNext w:val="0"/>
        <w:keepLines w:val="0"/>
        <w:pageBreakBefore w:val="0"/>
        <w:kinsoku/>
        <w:wordWrap/>
        <w:overflowPunct/>
        <w:topLinePunct w:val="0"/>
        <w:autoSpaceDE w:val="0"/>
        <w:autoSpaceDN w:val="0"/>
        <w:bidi w:val="0"/>
        <w:adjustRightInd w:val="0"/>
        <w:spacing w:after="50" w:line="240" w:lineRule="auto"/>
        <w:ind w:firstLine="432"/>
        <w:textAlignment w:val="auto"/>
        <w:rPr>
          <w:rFonts w:hAnsi="宋体"/>
          <w:b/>
          <w:color w:val="auto"/>
          <w:kern w:val="2"/>
          <w:sz w:val="21"/>
          <w:szCs w:val="21"/>
          <w:highlight w:val="none"/>
        </w:rPr>
      </w:pPr>
      <w:r>
        <w:rPr>
          <w:rFonts w:hint="eastAsia" w:hAnsi="宋体"/>
          <w:b/>
          <w:bCs/>
          <w:color w:val="auto"/>
          <w:kern w:val="2"/>
          <w:sz w:val="21"/>
          <w:szCs w:val="21"/>
          <w:highlight w:val="none"/>
        </w:rPr>
        <w:t>M</w:t>
      </w:r>
      <w:r>
        <w:rPr>
          <w:rFonts w:hint="eastAsia" w:hAnsi="宋体"/>
          <w:b/>
          <w:bCs/>
          <w:color w:val="auto"/>
          <w:kern w:val="2"/>
          <w:sz w:val="21"/>
          <w:szCs w:val="21"/>
          <w:highlight w:val="none"/>
          <w:vertAlign w:val="subscript"/>
        </w:rPr>
        <w:t>1</w:t>
      </w:r>
      <w:r>
        <w:rPr>
          <w:rFonts w:hint="eastAsia" w:hAnsi="宋体"/>
          <w:b/>
          <w:bCs/>
          <w:color w:val="auto"/>
          <w:kern w:val="2"/>
          <w:sz w:val="21"/>
          <w:szCs w:val="21"/>
          <w:highlight w:val="none"/>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240" w:lineRule="auto"/>
              <w:rPr>
                <w:rFonts w:hAnsi="宋体" w:cs="宋体"/>
                <w:b/>
                <w:color w:val="auto"/>
                <w:sz w:val="21"/>
                <w:szCs w:val="21"/>
                <w:highlight w:val="none"/>
              </w:rPr>
            </w:pPr>
            <w:r>
              <w:rPr>
                <w:rFonts w:hAnsi="宋体" w:cs="宋体"/>
                <w:b/>
                <w:color w:val="auto"/>
                <w:sz w:val="21"/>
                <w:szCs w:val="21"/>
                <w:highlight w:val="none"/>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240" w:lineRule="auto"/>
              <w:rPr>
                <w:rFonts w:hAnsi="宋体" w:cs="宋体"/>
                <w:b/>
                <w:color w:val="auto"/>
                <w:sz w:val="21"/>
                <w:szCs w:val="21"/>
                <w:highlight w:val="none"/>
              </w:rPr>
            </w:pPr>
            <w:r>
              <w:rPr>
                <w:rFonts w:hAnsi="宋体" w:cs="宋体"/>
                <w:b/>
                <w:color w:val="auto"/>
                <w:sz w:val="21"/>
                <w:szCs w:val="21"/>
                <w:highlight w:val="none"/>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hAnsi="宋体" w:cs="宋体"/>
                <w:b/>
                <w:color w:val="auto"/>
                <w:sz w:val="21"/>
                <w:szCs w:val="21"/>
                <w:highlight w:val="none"/>
              </w:rPr>
            </w:pP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T</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N</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Ⅰ期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Ⅱ期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Ⅰ期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1</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0/x</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hAnsi="宋体" w:cs="宋体"/>
                <w:b/>
                <w:color w:val="auto"/>
                <w:sz w:val="21"/>
                <w:szCs w:val="21"/>
                <w:highlight w:val="none"/>
              </w:rPr>
            </w:pPr>
          </w:p>
        </w:tc>
        <w:tc>
          <w:tcPr>
            <w:tcW w:w="2130"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2</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0/x</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hAnsi="宋体" w:cs="宋体"/>
                <w:b/>
                <w:color w:val="auto"/>
                <w:sz w:val="21"/>
                <w:szCs w:val="21"/>
                <w:highlight w:val="none"/>
              </w:rPr>
            </w:pPr>
            <w:bookmarkStart w:id="2" w:name="OLE_LINK10"/>
            <w:r>
              <w:rPr>
                <w:rFonts w:hAnsi="宋体" w:cs="宋体"/>
                <w:b/>
                <w:color w:val="auto"/>
                <w:sz w:val="21"/>
                <w:szCs w:val="21"/>
                <w:highlight w:val="none"/>
              </w:rPr>
              <w:t>Ⅱ期</w:t>
            </w:r>
            <w:bookmarkEnd w:id="2"/>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1～2</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hAnsi="宋体" w:cs="宋体"/>
                <w:b/>
                <w:color w:val="auto"/>
                <w:sz w:val="21"/>
                <w:szCs w:val="21"/>
                <w:highlight w:val="none"/>
              </w:rPr>
            </w:pP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3a～3b</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bookmarkStart w:id="3" w:name="OLE_LINK11" w:colFirst="0" w:colLast="0"/>
            <w:r>
              <w:rPr>
                <w:rFonts w:hAnsi="宋体" w:cs="宋体"/>
                <w:b/>
                <w:color w:val="auto"/>
                <w:sz w:val="21"/>
                <w:szCs w:val="21"/>
                <w:highlight w:val="none"/>
              </w:rPr>
              <w:t>Ⅲ期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4a</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ⅣA期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4b</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ⅣB期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Ⅰ期</w:t>
            </w:r>
          </w:p>
        </w:tc>
        <w:tc>
          <w:tcPr>
            <w:tcW w:w="2130"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Ⅱ期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2～3</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Ⅲ期</w:t>
            </w:r>
          </w:p>
        </w:tc>
        <w:tc>
          <w:tcPr>
            <w:tcW w:w="2130" w:type="dxa"/>
          </w:tcPr>
          <w:p>
            <w:pPr>
              <w:spacing w:line="240" w:lineRule="auto"/>
              <w:rPr>
                <w:rFonts w:hAnsi="宋体" w:cs="宋体"/>
                <w:b/>
                <w:color w:val="auto"/>
                <w:sz w:val="21"/>
                <w:szCs w:val="21"/>
                <w:highlight w:val="none"/>
              </w:rPr>
            </w:pPr>
            <w:bookmarkStart w:id="4" w:name="OLE_LINK13"/>
            <w:r>
              <w:rPr>
                <w:rFonts w:hAnsi="宋体" w:cs="宋体"/>
                <w:b/>
                <w:color w:val="auto"/>
                <w:sz w:val="21"/>
                <w:szCs w:val="21"/>
                <w:highlight w:val="none"/>
              </w:rPr>
              <w:t>1～3</w:t>
            </w:r>
            <w:bookmarkEnd w:id="4"/>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1a</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ⅣA期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4a</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hAnsi="宋体" w:cs="宋体"/>
                <w:b/>
                <w:color w:val="auto"/>
                <w:sz w:val="21"/>
                <w:szCs w:val="21"/>
                <w:highlight w:val="none"/>
              </w:rPr>
            </w:pPr>
            <w:bookmarkStart w:id="5" w:name="OLE_LINK12" w:colFirst="0" w:colLast="0"/>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1～3</w:t>
            </w:r>
          </w:p>
        </w:tc>
        <w:tc>
          <w:tcPr>
            <w:tcW w:w="2131" w:type="dxa"/>
          </w:tcPr>
          <w:p>
            <w:pPr>
              <w:spacing w:line="240" w:lineRule="auto"/>
              <w:rPr>
                <w:rFonts w:hAnsi="宋体" w:cs="宋体"/>
                <w:b/>
                <w:color w:val="auto"/>
                <w:sz w:val="21"/>
                <w:szCs w:val="21"/>
                <w:highlight w:val="none"/>
              </w:rPr>
            </w:pPr>
            <w:bookmarkStart w:id="6" w:name="OLE_LINK14"/>
            <w:r>
              <w:rPr>
                <w:rFonts w:hAnsi="宋体" w:cs="宋体"/>
                <w:b/>
                <w:color w:val="auto"/>
                <w:sz w:val="21"/>
                <w:szCs w:val="21"/>
                <w:highlight w:val="none"/>
              </w:rPr>
              <w:t>1b</w:t>
            </w:r>
            <w:bookmarkEnd w:id="6"/>
          </w:p>
        </w:tc>
        <w:tc>
          <w:tcPr>
            <w:tcW w:w="2131" w:type="dxa"/>
          </w:tcPr>
          <w:p>
            <w:pPr>
              <w:spacing w:line="240" w:lineRule="auto"/>
              <w:rPr>
                <w:rFonts w:hAnsi="宋体" w:cs="宋体"/>
                <w:b/>
                <w:color w:val="auto"/>
                <w:sz w:val="21"/>
                <w:szCs w:val="21"/>
                <w:highlight w:val="none"/>
              </w:rPr>
            </w:pPr>
            <w:bookmarkStart w:id="7" w:name="OLE_LINK15"/>
            <w:r>
              <w:rPr>
                <w:rFonts w:hint="eastAsia" w:hAnsi="宋体" w:cs="宋体"/>
                <w:b/>
                <w:color w:val="auto"/>
                <w:sz w:val="21"/>
                <w:szCs w:val="21"/>
                <w:highlight w:val="none"/>
              </w:rPr>
              <w:t>0</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ⅣB期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4b</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ⅣC期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ⅣA期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1～3a</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0/x</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ⅣB期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1～3a</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1</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hAnsi="宋体" w:cs="宋体"/>
                <w:b/>
                <w:color w:val="auto"/>
                <w:sz w:val="21"/>
                <w:szCs w:val="21"/>
                <w:highlight w:val="none"/>
              </w:rPr>
            </w:pP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3b～4</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hAnsi="宋体" w:cs="宋体"/>
                <w:b/>
                <w:color w:val="auto"/>
                <w:sz w:val="21"/>
                <w:szCs w:val="21"/>
                <w:highlight w:val="none"/>
              </w:rPr>
            </w:pPr>
            <w:r>
              <w:rPr>
                <w:rFonts w:hAnsi="宋体" w:cs="宋体"/>
                <w:b/>
                <w:color w:val="auto"/>
                <w:sz w:val="21"/>
                <w:szCs w:val="21"/>
                <w:highlight w:val="none"/>
              </w:rPr>
              <w:t>ⅣC期</w:t>
            </w:r>
          </w:p>
        </w:tc>
        <w:tc>
          <w:tcPr>
            <w:tcW w:w="2130"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Ansi="宋体" w:cs="宋体"/>
                <w:b/>
                <w:color w:val="auto"/>
                <w:sz w:val="21"/>
                <w:szCs w:val="21"/>
                <w:highlight w:val="none"/>
              </w:rPr>
              <w:t>任何</w:t>
            </w:r>
          </w:p>
        </w:tc>
        <w:tc>
          <w:tcPr>
            <w:tcW w:w="2131" w:type="dxa"/>
          </w:tcPr>
          <w:p>
            <w:pPr>
              <w:spacing w:line="240" w:lineRule="auto"/>
              <w:rPr>
                <w:rFonts w:hAnsi="宋体" w:cs="宋体"/>
                <w:b/>
                <w:color w:val="auto"/>
                <w:sz w:val="21"/>
                <w:szCs w:val="21"/>
                <w:highlight w:val="none"/>
              </w:rPr>
            </w:pPr>
            <w:r>
              <w:rPr>
                <w:rFonts w:hint="eastAsia" w:hAnsi="宋体" w:cs="宋体"/>
                <w:b/>
                <w:color w:val="auto"/>
                <w:sz w:val="21"/>
                <w:szCs w:val="21"/>
                <w:highlight w:val="none"/>
              </w:rPr>
              <w:t>1</w:t>
            </w:r>
          </w:p>
        </w:tc>
      </w:tr>
    </w:tbl>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注：以上表格中“年龄”指患者病理组织标本获取日期时的年龄</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（二）较重急性心肌梗死</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急性心肌梗死指由于冠状动脉闭塞或梗阻引起部分心肌严重的持久性缺血造成急性心肌坏死。急性心肌梗死的诊断必须依据国际国内诊断标准，符合：</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（1）检测到肌酸激酶同工酶（CK-MB）或肌钙蛋白（cTn）升高和/或降低的动态变化，至少一次达到或超过心肌梗死的临床诊断标准；</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同时存在下列之一的证据，包括：缺血性胸痛症状、新发生的缺血性心电图改变、新生成的病理性Q波、影像学证据显示有新出现的心肌活性丧失或新出现局部室壁运动异常、冠脉造影证实存在冠状动脉血栓。</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较重急性心肌梗死指依照上述标准被明确诊断为急性心肌梗死，并且必须同时满足下列至少一项条件：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（1）心肌损伤标志物肌钙蛋白（cTn）升高，至少一次检测结果达到该检验正常参考值上限的15倍（含）以上；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（2）肌酸激酶同工酶（CK-MB）升高，至少一次检测结果达到该检验正常参考值上限的2倍（含）以上；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（3）出现左心室收缩功能下降，在确诊6周以后，检测左室射血分数（LVEF）低于50%（不含）；</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（4）影像学检查证实存在新发的乳头肌功能失调或断裂引起的中度（含）以上的二尖瓣反流；</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（5）影像学检查证实存在新出现的室壁瘤；</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（6）出现室性心动过速、心室颤动或心源性休克。</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其他非冠状动脉阻塞性疾病所引起的肌钙蛋白（cTn）升高不在保障范围内。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（三）严重脑中风后遗症</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（1）一肢（含）以上</w:t>
      </w:r>
      <w:r>
        <w:rPr>
          <w:rFonts w:hint="eastAsia" w:hAnsi="宋体"/>
          <w:b/>
          <w:color w:val="auto"/>
          <w:kern w:val="2"/>
          <w:sz w:val="21"/>
          <w:szCs w:val="21"/>
          <w:highlight w:val="none"/>
        </w:rPr>
        <w:t>肢体</w:t>
      </w:r>
      <w:r>
        <w:rPr>
          <w:rFonts w:hint="eastAsia" w:hAnsi="宋体"/>
          <w:bCs/>
          <w:color w:val="auto"/>
          <w:kern w:val="2"/>
          <w:sz w:val="21"/>
          <w:szCs w:val="21"/>
          <w:highlight w:val="none"/>
        </w:rPr>
        <w:t>（释义15）</w:t>
      </w:r>
      <w:r>
        <w:rPr>
          <w:rFonts w:hint="eastAsia" w:hAnsi="宋体"/>
          <w:b/>
          <w:color w:val="auto"/>
          <w:kern w:val="2"/>
          <w:sz w:val="21"/>
          <w:szCs w:val="21"/>
          <w:highlight w:val="none"/>
        </w:rPr>
        <w:t>肌力</w:t>
      </w:r>
      <w:r>
        <w:rPr>
          <w:rFonts w:hint="eastAsia" w:hAnsi="宋体"/>
          <w:bCs/>
          <w:color w:val="auto"/>
          <w:kern w:val="2"/>
          <w:sz w:val="21"/>
          <w:szCs w:val="21"/>
          <w:highlight w:val="none"/>
        </w:rPr>
        <w:t>（释义16）2级（含）以下；</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w:t>
      </w:r>
      <w:r>
        <w:rPr>
          <w:rFonts w:hint="eastAsia" w:hAnsi="宋体"/>
          <w:b/>
          <w:color w:val="auto"/>
          <w:kern w:val="2"/>
          <w:sz w:val="21"/>
          <w:szCs w:val="21"/>
          <w:highlight w:val="none"/>
        </w:rPr>
        <w:t>语言能力完全丧失</w:t>
      </w:r>
      <w:r>
        <w:rPr>
          <w:rFonts w:hint="eastAsia" w:hAnsi="宋体"/>
          <w:bCs/>
          <w:color w:val="auto"/>
          <w:kern w:val="2"/>
          <w:sz w:val="21"/>
          <w:szCs w:val="21"/>
          <w:highlight w:val="none"/>
        </w:rPr>
        <w:t>（释义17），或</w:t>
      </w:r>
      <w:r>
        <w:rPr>
          <w:rFonts w:hint="eastAsia" w:hAnsi="宋体"/>
          <w:b/>
          <w:color w:val="auto"/>
          <w:kern w:val="2"/>
          <w:sz w:val="21"/>
          <w:szCs w:val="21"/>
          <w:highlight w:val="none"/>
        </w:rPr>
        <w:t>严重咀嚼吞咽功能障碍</w:t>
      </w:r>
      <w:r>
        <w:rPr>
          <w:rFonts w:hint="eastAsia" w:hAnsi="宋体"/>
          <w:bCs/>
          <w:color w:val="auto"/>
          <w:kern w:val="2"/>
          <w:sz w:val="21"/>
          <w:szCs w:val="21"/>
          <w:highlight w:val="none"/>
        </w:rPr>
        <w:t>（释义18）；</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（3）自主生活能力完全丧失，无法独立完成</w:t>
      </w:r>
      <w:r>
        <w:rPr>
          <w:rFonts w:hint="eastAsia" w:hAnsi="宋体"/>
          <w:b/>
          <w:color w:val="auto"/>
          <w:kern w:val="2"/>
          <w:sz w:val="21"/>
          <w:szCs w:val="21"/>
          <w:highlight w:val="none"/>
        </w:rPr>
        <w:t>六项基本日常生活活动</w:t>
      </w:r>
      <w:r>
        <w:rPr>
          <w:rFonts w:hint="eastAsia" w:hAnsi="宋体"/>
          <w:bCs/>
          <w:color w:val="auto"/>
          <w:kern w:val="2"/>
          <w:sz w:val="21"/>
          <w:szCs w:val="21"/>
          <w:highlight w:val="none"/>
        </w:rPr>
        <w:t>（释义19）中的三项或三项以上。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（四）重大器官移植术或造血干细胞移植术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重大器官移植术，指因相应器官功能衰竭，已经实施了肾脏、肝脏、心脏、肺脏或小肠的异体移植手术。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造血干细胞移植术，指因造血功能损害或造血系统恶性肿瘤，已经实施了造血干细胞（包括骨髓造血干细胞、外周血造血干细胞和脐血造血干细胞）的移植手术。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（五）冠状动脉搭桥术（或称冠状动脉旁路移植术）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指为治疗严重的冠心病，已经实施了切开心包进行的冠状动脉血管旁路移植的手术。</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所有未切开心包的冠状动脉介入治疗不在保障范围内。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（六）严重慢性肾衰竭</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（七）多个肢体缺失</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指因疾病或意外伤害导致两个或两个以上肢体自腕关节或踝关节近端（靠近躯干端）以上完全性断离。</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（八）急性重症肝炎或亚急性重症肝炎</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指因肝炎病毒感染引起肝脏组织弥漫性坏死，导致急性肝功能衰竭，且经血清学或病毒学检查证实，并须满足下列全部条件：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（1）重度黄疸或黄疸迅速加重；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（2）肝性脑病；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（3）B超或其他影像学检查显示肝脏体积急速萎缩；</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（4）肝功能指标进行性恶化。</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（九）严重非恶性颅内肿瘤</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（1）已经实施了开颅进行的颅内肿瘤完全或部分切除手术；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（2）已经实施了针对颅内肿瘤的放射治疗，如γ刀、质子重离子治疗等。</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下列疾病不在保障范围内：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（1）脑垂体瘤；</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（2）脑囊肿；</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（3）颅内血管性疾病（如脑动脉瘤、脑动静脉畸形、海绵状血管瘤、毛细血管扩张症等）。</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（十）严重慢性肝衰竭</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指因慢性肝脏疾病导致的肝衰竭，且须满足下列全部条件：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（1）持续性黄疸；</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（2）腹水；</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（3）肝性脑病；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（4）充血性脾肿大伴脾功能亢进或食管胃底静脉曲张。</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
          <w:color w:val="auto"/>
          <w:kern w:val="2"/>
          <w:sz w:val="21"/>
          <w:szCs w:val="21"/>
          <w:highlight w:val="none"/>
        </w:rPr>
        <w:t>因酗酒（释义20）或药物滥用导致的肝衰竭不在保障范围内。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（十一）严重脑炎后遗症或严重脑膜炎后遗症</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指因患脑炎或脑膜炎导致的神经系统永久性的功能障碍。神经系统永久性的功能障碍，指经相关专科医生确诊疾病180天后，仍遗留下列至少一种障碍：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（1）一肢（含）以上肢体肌力2级（含）以下；</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（2）语言能力完全丧失，或严重咀嚼吞咽功能障碍；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（3）由具有评估资格的专科医生根据临床痴呆评定量表（CDR，Clinical Dementia Rating）评估结果为3分；</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（4）自主生活能力完全丧失，无法独立完成六项基本日常生活活动中的三项或三项以上。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（十二）深度昏迷</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指因疾病或意外伤害导致意识丧失，对外界刺激和体内需求均无反应，昏迷程度按照格拉斯哥昏迷分级（GCS，Glasgow Coma Scale）结果为5分或5分以下，且已经持续使用呼吸机及其他生命维持系统96小时以上。</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因酗酒或药物滥用导致的深度昏迷不在保障范围内。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（十三）双耳失聪</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指因疾病或意外伤害导致双耳听力永久不可逆（释义21）性丧失，在500赫兹、1000赫兹和2000赫兹语音频率下，平均听阈大于等于91分贝，且经纯音听力测试、声导抗检测或听觉诱发电位检测等证实。</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本合同仅对被保险人3周岁以后出现该症状的情况承担保险责任。</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（十四）双目失明</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指因疾病或意外伤害导致双眼视力永久不可逆性丧失，双眼中较好眼须满足下列至少一项条件：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（1）眼球缺失或摘除；</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（2）矫正视力低于0.02（采用国际标准视力表，如果使用其他视力表应进行换算）；</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（3）视野半径小于5度。</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本合同仅对被保险人3周岁以后出现该症状的情况承担保险责任。</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（十五）瘫痪</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（十六）心脏瓣膜手术</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指为治疗心脏瓣膜疾病，已经实施了切开心脏进行的心脏瓣膜置换或修复的手术。</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所有未切开心脏的心脏瓣膜介入手术不在保障范围内。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（十七）严重阿尔茨海默病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（1）由具有评估资格的专科医生根据临床痴呆评定量表（CDR，Clinical Dementia Rating）评估结果为3分；</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（2）自主生活能力完全丧失，无法独立完成六项基本日常生活活动中的三项或三项以上。</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阿尔茨海默病之外的其他类型痴呆不在保障范围内。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（十八）严重脑损伤</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（1）一肢（含）以上肢体肌力2级（含）以下；</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（2）语言能力完全丧失，或严重咀嚼吞咽功能障碍；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（3）自主生活能力完全丧失，无法独立完成六项基本日常生活活动中的三项或三项以上。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（十九）严重原发性帕金森病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是一种中枢神经系统的退行性疾病，临床表现为运动迟缓、静止性震颤或肌强直等，经相关专科医生确诊，且须满足自主生活能力完全丧失，无法独立完成六项基本日常生活活动中的三项或三项以上。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
          <w:color w:val="auto"/>
          <w:kern w:val="2"/>
          <w:sz w:val="21"/>
          <w:szCs w:val="21"/>
          <w:highlight w:val="none"/>
        </w:rPr>
        <w:t>继发性帕金森综合征、帕金森叠加综合征不在保障范围内。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（二十）严重Ⅲ度烧伤</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指烧伤程度为Ⅲ度，且Ⅲ度烧伤的面积达到全身体表面积的20％或20％以上。体表面积根据《中国新九分法》计算。</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（二十一）严重特发性肺动脉高压</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指不明原因的肺动脉压力持续性增高，进行性发展而导致的慢性疾病，已经造成永久不可逆性的体力活动能力受限，达到</w:t>
      </w:r>
      <w:r>
        <w:rPr>
          <w:rFonts w:hint="eastAsia" w:hAnsi="宋体"/>
          <w:b/>
          <w:color w:val="auto"/>
          <w:kern w:val="2"/>
          <w:sz w:val="21"/>
          <w:szCs w:val="21"/>
          <w:highlight w:val="none"/>
        </w:rPr>
        <w:t>美国纽约心脏病学会（New York Heart Association，NYHA）心功能状态分级</w:t>
      </w:r>
      <w:r>
        <w:rPr>
          <w:rFonts w:hint="eastAsia" w:hAnsi="宋体"/>
          <w:bCs/>
          <w:color w:val="auto"/>
          <w:kern w:val="2"/>
          <w:sz w:val="21"/>
          <w:szCs w:val="21"/>
          <w:highlight w:val="none"/>
        </w:rPr>
        <w:t>（释义22）IV级，且静息状态下肺动脉平均压在36mmHg（含）以上。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（二十二）严重运动神经元病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是一组中枢神经系统运动神经元的进行性变性疾病，包括进行性脊肌萎缩症、进行性延髓麻痹症、原发性侧索硬化症、肌萎缩性侧索硬化症,经相关专科医生确诊，且须满足下列至少一项条件：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（1）严重咀嚼吞咽功能障碍；</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（2）呼吸肌麻痹导致严重呼吸困难，且已经持续使用呼吸机7天（含）以上；</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（3）自主生活能力完全丧失，无法独立完成六项基本日常生活活动中的三项或三项以上。</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本</w:t>
      </w:r>
      <w:r>
        <w:rPr>
          <w:rFonts w:hint="eastAsia" w:ascii="Times New Roman"/>
          <w:b/>
          <w:color w:val="auto"/>
          <w:kern w:val="2"/>
          <w:sz w:val="21"/>
          <w:szCs w:val="21"/>
          <w:highlight w:val="none"/>
        </w:rPr>
        <w:t>附加险</w:t>
      </w:r>
      <w:r>
        <w:rPr>
          <w:rFonts w:hint="eastAsia" w:hAnsi="宋体"/>
          <w:b/>
          <w:color w:val="auto"/>
          <w:kern w:val="2"/>
          <w:sz w:val="21"/>
          <w:szCs w:val="21"/>
          <w:highlight w:val="none"/>
        </w:rPr>
        <w:t>合同仅对60周岁以前被保险人予以理赔。</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（二十三）语言能力丧失</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指因疾病或意外伤害导致语言能力完全丧失，经过积极治疗至少12个月（声带完全切除不受此时间限制），仍无法通过现有医疗手段恢复。</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精神心理因素所致的语言能力丧失不在保障范围内。</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
          <w:color w:val="auto"/>
          <w:kern w:val="2"/>
          <w:sz w:val="21"/>
          <w:szCs w:val="21"/>
          <w:highlight w:val="none"/>
        </w:rPr>
        <w:t>本合同仅对被保险人3周岁以后出现该症状的情况承担保险责任。</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（二十四）重型再生障碍性贫血</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指因骨髓造血功能慢性持续性衰竭导致的贫血、中性粒细胞减少及血小板减少，且须满足下列全部条件：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（1）骨髓穿刺检查或骨髓活检结果支持诊断：骨髓细胞增生程度&lt;正常的25%；如≥正常的25%但&lt;50%，则残存的造血细胞应&lt;30%；</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（2）外周血象须具备以下三项条件中的两项：</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①中性粒细胞绝对值&lt;0.5×109/L；</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②网织红细胞计数&lt;20×109/L；</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③血小板绝对值&lt;20×109/L。</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（二十五）主动脉手术</w:t>
      </w:r>
    </w:p>
    <w:p>
      <w:pPr>
        <w:autoSpaceDE w:val="0"/>
        <w:autoSpaceDN w:val="0"/>
        <w:adjustRightInd w:val="0"/>
        <w:spacing w:after="50" w:line="240" w:lineRule="auto"/>
        <w:ind w:firstLine="432"/>
        <w:rPr>
          <w:rFonts w:hAnsi="宋体"/>
          <w:b/>
          <w:color w:val="auto"/>
          <w:kern w:val="2"/>
          <w:sz w:val="21"/>
          <w:szCs w:val="21"/>
          <w:highlight w:val="none"/>
        </w:rPr>
      </w:pPr>
      <w:r>
        <w:rPr>
          <w:rFonts w:hint="eastAsia" w:hAnsi="宋体"/>
          <w:bCs/>
          <w:color w:val="auto"/>
          <w:kern w:val="2"/>
          <w:sz w:val="21"/>
          <w:szCs w:val="21"/>
          <w:highlight w:val="none"/>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hAnsi="宋体"/>
          <w:b/>
          <w:color w:val="auto"/>
          <w:kern w:val="2"/>
          <w:sz w:val="21"/>
          <w:szCs w:val="21"/>
          <w:highlight w:val="none"/>
        </w:rPr>
        <w:t>不包括升主动脉、主动脉弓和降主动脉的分支血管。</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
          <w:color w:val="auto"/>
          <w:kern w:val="2"/>
          <w:sz w:val="21"/>
          <w:szCs w:val="21"/>
          <w:highlight w:val="none"/>
        </w:rPr>
        <w:t>所有未实施开胸或开腹的动脉内介入治疗不在保障范围内。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（二十六）严重慢性呼吸衰竭</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指因慢性呼吸系统疾病导致永久不可逆性的呼吸衰竭，经过积极治疗180天后满足以下所有条件：</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（1）静息时出现呼吸困难；</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（2）肺功能第一秒用力呼气容积（FEV1）占预计值的百分比＜30%；</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（3）在静息状态、呼吸空气条件下，动脉血氧分压（PaO2）＜50mmHg。</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（二十七）严重克罗恩病</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指一种慢性肉芽肿性肠炎，具有特征性的克罗恩病（Crohn 病）病理组织学变化，须根据组织病理学特点诊断，且已经造成瘘管形成并伴有肠梗阻或肠穿孔。</w:t>
      </w:r>
    </w:p>
    <w:p>
      <w:pPr>
        <w:autoSpaceDE w:val="0"/>
        <w:autoSpaceDN w:val="0"/>
        <w:adjustRightInd w:val="0"/>
        <w:spacing w:after="50" w:line="240" w:lineRule="auto"/>
        <w:ind w:firstLine="432"/>
        <w:rPr>
          <w:rFonts w:hAnsi="宋体"/>
          <w:bCs/>
          <w:color w:val="auto"/>
          <w:kern w:val="2"/>
          <w:sz w:val="21"/>
          <w:szCs w:val="21"/>
          <w:highlight w:val="none"/>
        </w:rPr>
      </w:pPr>
      <w:r>
        <w:rPr>
          <w:rFonts w:hint="eastAsia" w:hAnsi="宋体"/>
          <w:bCs/>
          <w:color w:val="auto"/>
          <w:kern w:val="2"/>
          <w:sz w:val="21"/>
          <w:szCs w:val="21"/>
          <w:highlight w:val="none"/>
        </w:rPr>
        <w:t>（二十八）严重溃疡性结肠炎</w:t>
      </w:r>
    </w:p>
    <w:p>
      <w:pPr>
        <w:autoSpaceDE w:val="0"/>
        <w:autoSpaceDN w:val="0"/>
        <w:adjustRightInd w:val="0"/>
        <w:snapToGrid/>
        <w:spacing w:after="50" w:afterLines="-2147483648"/>
        <w:ind w:firstLine="432" w:firstLineChars="0"/>
        <w:rPr>
          <w:rFonts w:hAnsi="宋体" w:cs="宋体"/>
          <w:bCs/>
          <w:color w:val="auto"/>
          <w:kern w:val="2"/>
          <w:sz w:val="21"/>
          <w:szCs w:val="21"/>
          <w:highlight w:val="none"/>
        </w:rPr>
      </w:pPr>
      <w:r>
        <w:rPr>
          <w:rFonts w:hint="eastAsia" w:hAnsi="宋体"/>
          <w:bCs/>
          <w:color w:val="auto"/>
          <w:kern w:val="2"/>
          <w:sz w:val="21"/>
          <w:szCs w:val="21"/>
          <w:highlight w:val="none"/>
        </w:rPr>
        <w:t>指伴有致命性电解质紊乱的急性暴发性溃疡性结肠炎，病变已经累及全结肠，表现为严重的血便和系统性症状体征，须根据组织病理学特点诊断，且已经实施了结肠切除或回肠造瘘术。</w:t>
      </w:r>
    </w:p>
    <w:p>
      <w:pPr>
        <w:pStyle w:val="6"/>
        <w:widowControl/>
        <w:adjustRightInd w:val="0"/>
        <w:snapToGrid w:val="0"/>
        <w:spacing w:after="156" w:afterLines="50" w:afterAutospacing="0"/>
        <w:ind w:firstLine="422" w:firstLineChars="200"/>
        <w:jc w:val="both"/>
        <w:rPr>
          <w:bCs/>
          <w:color w:val="auto"/>
          <w:kern w:val="2"/>
          <w:sz w:val="21"/>
          <w:szCs w:val="21"/>
          <w:highlight w:val="none"/>
        </w:rPr>
      </w:pPr>
      <w:r>
        <w:rPr>
          <w:rFonts w:hint="eastAsia"/>
          <w:b/>
          <w:color w:val="auto"/>
          <w:kern w:val="2"/>
          <w:sz w:val="21"/>
          <w:szCs w:val="21"/>
          <w:highlight w:val="none"/>
        </w:rPr>
        <w:t>6、意外伤害</w:t>
      </w:r>
      <w:r>
        <w:rPr>
          <w:rFonts w:hint="eastAsia"/>
          <w:bCs/>
          <w:color w:val="auto"/>
          <w:kern w:val="2"/>
          <w:sz w:val="21"/>
          <w:szCs w:val="21"/>
          <w:highlight w:val="none"/>
        </w:rPr>
        <w:t>：指以外来的、突发的、非本意的和非疾病的客观事件为直接且单独的原因致使身体受到的伤害。</w:t>
      </w:r>
      <w:r>
        <w:rPr>
          <w:rFonts w:hint="eastAsia"/>
          <w:b/>
          <w:color w:val="auto"/>
          <w:kern w:val="2"/>
          <w:sz w:val="21"/>
          <w:szCs w:val="21"/>
          <w:highlight w:val="none"/>
        </w:rPr>
        <w:t>自然死亡、疾病身故、猝死、自杀以及自伤均不属于意外伤害。</w:t>
      </w:r>
    </w:p>
    <w:p>
      <w:pPr>
        <w:pStyle w:val="6"/>
        <w:widowControl/>
        <w:adjustRightInd w:val="0"/>
        <w:snapToGrid w:val="0"/>
        <w:spacing w:after="156" w:afterLines="50" w:afterAutospacing="0"/>
        <w:ind w:firstLine="422" w:firstLineChars="200"/>
        <w:jc w:val="both"/>
        <w:rPr>
          <w:b/>
          <w:color w:val="auto"/>
          <w:kern w:val="2"/>
          <w:sz w:val="21"/>
          <w:szCs w:val="21"/>
          <w:highlight w:val="none"/>
        </w:rPr>
      </w:pPr>
      <w:r>
        <w:rPr>
          <w:rFonts w:hint="eastAsia"/>
          <w:b/>
          <w:color w:val="auto"/>
          <w:kern w:val="2"/>
          <w:sz w:val="21"/>
          <w:szCs w:val="21"/>
          <w:highlight w:val="none"/>
        </w:rPr>
        <w:t>7、酒后驾驶：</w:t>
      </w:r>
      <w:r>
        <w:rPr>
          <w:rFonts w:hint="eastAsia"/>
          <w:bCs/>
          <w:color w:val="auto"/>
          <w:kern w:val="2"/>
          <w:sz w:val="21"/>
          <w:szCs w:val="21"/>
          <w:highlight w:val="none"/>
        </w:rPr>
        <w:t>指经检测或鉴定，发生事故时车辆驾驶人员每百毫升血液中的酒精含量达到或超过一定</w:t>
      </w:r>
      <w:r>
        <w:rPr>
          <w:bCs/>
          <w:color w:val="auto"/>
          <w:kern w:val="2"/>
          <w:sz w:val="21"/>
          <w:szCs w:val="21"/>
          <w:highlight w:val="none"/>
        </w:rPr>
        <w:t xml:space="preserve"> </w:t>
      </w:r>
      <w:r>
        <w:rPr>
          <w:rFonts w:hint="eastAsia"/>
          <w:bCs/>
          <w:color w:val="auto"/>
          <w:kern w:val="2"/>
          <w:sz w:val="21"/>
          <w:szCs w:val="21"/>
          <w:highlight w:val="none"/>
        </w:rPr>
        <w:t>的标准，公安机关交通管理部门依据《道路交通安全法》的规定认定为饮酒后驾驶或醉酒后驾驶。</w:t>
      </w:r>
    </w:p>
    <w:p>
      <w:pPr>
        <w:pStyle w:val="6"/>
        <w:widowControl/>
        <w:adjustRightInd w:val="0"/>
        <w:snapToGrid w:val="0"/>
        <w:spacing w:after="156" w:afterLines="50" w:afterAutospacing="0"/>
        <w:ind w:firstLine="422" w:firstLineChars="200"/>
        <w:jc w:val="both"/>
        <w:rPr>
          <w:b/>
          <w:color w:val="auto"/>
          <w:kern w:val="2"/>
          <w:sz w:val="21"/>
          <w:szCs w:val="21"/>
          <w:highlight w:val="none"/>
        </w:rPr>
      </w:pPr>
      <w:r>
        <w:rPr>
          <w:rFonts w:hint="eastAsia"/>
          <w:b/>
          <w:color w:val="auto"/>
          <w:kern w:val="2"/>
          <w:sz w:val="21"/>
          <w:szCs w:val="21"/>
          <w:highlight w:val="none"/>
        </w:rPr>
        <w:t>8、无合法有效驾驶证：</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指被保险人存在下列情形之一者：</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1）无驾驶证或驾驶证有效期已届满；</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2）驾驶的机动车与驾驶证载明的准驾车型不符；</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3）实习期内驾驶公共汽车、营运客车或者载有爆炸物品、易燃易爆化学物品、剧毒或者放射性等危险物品的机动车，实习期内驾驶的机动车牵引挂车；</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4）持未按规定审验的驾驶证，以及在暂扣、扣留、吊销、注销驾驶证期间驾驶机动车；</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5）使用各种专用机械车、特种车的人员无国家有关部门核发的有效操作证，驾驶营业性客车的驾驶人无国家有关部门核发的有效资格证书；</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6）依照法律法规或公安机关交通管理部门有关规定不允许驾驶机动车的其他情况下驾车。</w:t>
      </w:r>
    </w:p>
    <w:p>
      <w:pPr>
        <w:pStyle w:val="6"/>
        <w:widowControl/>
        <w:adjustRightInd w:val="0"/>
        <w:snapToGrid w:val="0"/>
        <w:spacing w:after="156" w:afterLines="50" w:afterAutospacing="0"/>
        <w:ind w:firstLine="422" w:firstLineChars="200"/>
        <w:jc w:val="both"/>
        <w:rPr>
          <w:b/>
          <w:color w:val="auto"/>
          <w:kern w:val="2"/>
          <w:sz w:val="21"/>
          <w:szCs w:val="21"/>
          <w:highlight w:val="none"/>
        </w:rPr>
      </w:pPr>
      <w:r>
        <w:rPr>
          <w:rFonts w:hint="eastAsia"/>
          <w:b/>
          <w:color w:val="auto"/>
          <w:kern w:val="2"/>
          <w:sz w:val="21"/>
          <w:szCs w:val="21"/>
          <w:highlight w:val="none"/>
        </w:rPr>
        <w:t>9、无合法有效行驶证：</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指下列情形之一：</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1）机动车被依法注销登记的；</w:t>
      </w:r>
    </w:p>
    <w:p>
      <w:pPr>
        <w:pStyle w:val="6"/>
        <w:widowControl/>
        <w:adjustRightInd w:val="0"/>
        <w:snapToGrid w:val="0"/>
        <w:spacing w:after="156" w:afterLines="50" w:afterAutospacing="0"/>
        <w:ind w:firstLine="420" w:firstLineChars="200"/>
        <w:jc w:val="both"/>
        <w:rPr>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2）无公安机关交通管理部门核发的行驶证、号牌，或临时号牌或临时移动证的机动交通工具；</w:t>
      </w:r>
    </w:p>
    <w:p>
      <w:pPr>
        <w:pStyle w:val="6"/>
        <w:widowControl/>
        <w:adjustRightInd w:val="0"/>
        <w:snapToGrid w:val="0"/>
        <w:spacing w:after="156" w:afterLines="50" w:afterAutospacing="0"/>
        <w:ind w:firstLine="420" w:firstLineChars="200"/>
        <w:jc w:val="both"/>
        <w:rPr>
          <w:b w:val="0"/>
          <w:bCs/>
          <w:color w:val="auto"/>
          <w:kern w:val="2"/>
          <w:sz w:val="21"/>
          <w:szCs w:val="21"/>
          <w:highlight w:val="none"/>
        </w:rPr>
      </w:pPr>
      <w:r>
        <w:rPr>
          <w:rFonts w:hint="eastAsia"/>
          <w:bCs/>
          <w:color w:val="auto"/>
          <w:kern w:val="2"/>
          <w:sz w:val="21"/>
          <w:szCs w:val="21"/>
          <w:highlight w:val="none"/>
        </w:rPr>
        <w:t>（</w:t>
      </w:r>
      <w:r>
        <w:rPr>
          <w:bCs/>
          <w:color w:val="auto"/>
          <w:kern w:val="2"/>
          <w:sz w:val="21"/>
          <w:szCs w:val="21"/>
          <w:highlight w:val="none"/>
        </w:rPr>
        <w:t>3）未在规定检验期限内进行机动车安全技术检验或检验未通过的机动交通工具。</w:t>
      </w:r>
    </w:p>
    <w:p>
      <w:pPr>
        <w:pStyle w:val="6"/>
        <w:widowControl/>
        <w:adjustRightInd w:val="0"/>
        <w:snapToGrid w:val="0"/>
        <w:spacing w:after="156" w:afterLines="50" w:afterAutospacing="0"/>
        <w:ind w:firstLine="422" w:firstLineChars="200"/>
        <w:jc w:val="both"/>
        <w:rPr>
          <w:bCs/>
          <w:color w:val="auto"/>
          <w:kern w:val="2"/>
          <w:sz w:val="21"/>
          <w:szCs w:val="21"/>
          <w:highlight w:val="none"/>
        </w:rPr>
      </w:pPr>
      <w:r>
        <w:rPr>
          <w:rFonts w:hint="eastAsia"/>
          <w:b/>
          <w:color w:val="auto"/>
          <w:kern w:val="2"/>
          <w:sz w:val="21"/>
          <w:szCs w:val="21"/>
          <w:highlight w:val="none"/>
        </w:rPr>
        <w:t>10、感染艾滋病病毒或患艾滋病：</w:t>
      </w:r>
      <w:r>
        <w:rPr>
          <w:rFonts w:hint="eastAsia"/>
          <w:bCs/>
          <w:color w:val="auto"/>
          <w:kern w:val="2"/>
          <w:sz w:val="21"/>
          <w:szCs w:val="21"/>
          <w:highlight w:val="none"/>
        </w:rPr>
        <w:t>艾滋病病毒指人类免疫缺陷病毒，英文缩写为</w:t>
      </w:r>
      <w:r>
        <w:rPr>
          <w:bCs/>
          <w:color w:val="auto"/>
          <w:kern w:val="2"/>
          <w:sz w:val="21"/>
          <w:szCs w:val="21"/>
          <w:highlight w:val="none"/>
        </w:rPr>
        <w:t>HIV。艾滋病指人类免疫缺陷病毒引起的获得性免疫缺陷综合征，英文缩写为AIDS。</w:t>
      </w:r>
    </w:p>
    <w:p>
      <w:pPr>
        <w:pStyle w:val="6"/>
        <w:widowControl/>
        <w:adjustRightInd w:val="0"/>
        <w:snapToGrid w:val="0"/>
        <w:spacing w:after="156" w:afterLines="50" w:afterAutospacing="0"/>
        <w:ind w:firstLine="420" w:firstLineChars="200"/>
        <w:jc w:val="both"/>
        <w:rPr>
          <w:b w:val="0"/>
          <w:bCs/>
          <w:color w:val="auto"/>
          <w:kern w:val="2"/>
          <w:sz w:val="21"/>
          <w:szCs w:val="21"/>
          <w:highlight w:val="none"/>
        </w:rPr>
      </w:pPr>
      <w:r>
        <w:rPr>
          <w:rFonts w:hint="eastAsia"/>
          <w:bCs/>
          <w:color w:val="auto"/>
          <w:kern w:val="2"/>
          <w:sz w:val="21"/>
          <w:szCs w:val="21"/>
          <w:highlight w:val="none"/>
        </w:rPr>
        <w:t>在人体血液或其他样本中检测到艾滋病病毒或其抗体呈阳性，没有出现临床症状或体征的，为感染艾滋病病毒；如果同时出现了明显临床症状或体征的，为患艾滋病。</w:t>
      </w:r>
    </w:p>
    <w:p>
      <w:pPr>
        <w:pStyle w:val="6"/>
        <w:widowControl/>
        <w:adjustRightInd w:val="0"/>
        <w:snapToGrid w:val="0"/>
        <w:spacing w:after="156" w:afterLines="50" w:afterAutospacing="0"/>
        <w:ind w:firstLine="422" w:firstLineChars="200"/>
        <w:jc w:val="both"/>
        <w:rPr>
          <w:b w:val="0"/>
          <w:bCs/>
          <w:color w:val="auto"/>
          <w:kern w:val="2"/>
          <w:sz w:val="21"/>
          <w:szCs w:val="21"/>
          <w:highlight w:val="none"/>
        </w:rPr>
      </w:pPr>
      <w:r>
        <w:rPr>
          <w:rFonts w:hint="eastAsia"/>
          <w:b/>
          <w:color w:val="auto"/>
          <w:kern w:val="2"/>
          <w:sz w:val="21"/>
          <w:szCs w:val="21"/>
          <w:highlight w:val="none"/>
        </w:rPr>
        <w:t>11、遗传性疾病：</w:t>
      </w:r>
      <w:r>
        <w:rPr>
          <w:rFonts w:hint="eastAsia"/>
          <w:bCs/>
          <w:color w:val="auto"/>
          <w:kern w:val="2"/>
          <w:sz w:val="21"/>
          <w:szCs w:val="21"/>
          <w:highlight w:val="none"/>
        </w:rPr>
        <w:t>指生殖细胞或受精卵的遗传物质（染色体和基因）发生突变或畸变所引起的疾病，通常具有由亲代传至后代的垂直传递的特征。</w:t>
      </w:r>
    </w:p>
    <w:p>
      <w:pPr>
        <w:pStyle w:val="6"/>
        <w:widowControl/>
        <w:adjustRightInd w:val="0"/>
        <w:snapToGrid w:val="0"/>
        <w:spacing w:after="156" w:afterLines="50" w:afterAutospacing="0"/>
        <w:ind w:firstLine="422" w:firstLineChars="200"/>
        <w:jc w:val="both"/>
        <w:rPr>
          <w:b/>
          <w:color w:val="auto"/>
          <w:kern w:val="2"/>
          <w:sz w:val="21"/>
          <w:szCs w:val="21"/>
          <w:highlight w:val="none"/>
        </w:rPr>
      </w:pPr>
      <w:r>
        <w:rPr>
          <w:rFonts w:hint="eastAsia"/>
          <w:b/>
          <w:color w:val="auto"/>
          <w:kern w:val="2"/>
          <w:sz w:val="21"/>
          <w:szCs w:val="21"/>
          <w:highlight w:val="none"/>
        </w:rPr>
        <w:t>12、先天性畸形、变形或染色体异常：</w:t>
      </w:r>
      <w:r>
        <w:rPr>
          <w:rFonts w:hint="eastAsia"/>
          <w:bCs/>
          <w:color w:val="auto"/>
          <w:kern w:val="2"/>
          <w:sz w:val="21"/>
          <w:szCs w:val="21"/>
          <w:highlight w:val="none"/>
        </w:rPr>
        <w:t>指被保险人出生时就具有的畸形、变形或染色体异常。先天性畸形、变形和染色体异常依照世界卫生组织（</w:t>
      </w:r>
      <w:r>
        <w:rPr>
          <w:bCs/>
          <w:color w:val="auto"/>
          <w:kern w:val="2"/>
          <w:sz w:val="21"/>
          <w:szCs w:val="21"/>
          <w:highlight w:val="none"/>
        </w:rPr>
        <w:t>WTO，World Health Organization）《疾病和有关健康问题的国际统计分类》第十次修订版（ICD-10）确定。</w:t>
      </w:r>
    </w:p>
    <w:p>
      <w:pPr>
        <w:pStyle w:val="6"/>
        <w:widowControl/>
        <w:adjustRightInd w:val="0"/>
        <w:snapToGrid w:val="0"/>
        <w:spacing w:after="156" w:afterLines="50" w:afterAutospacing="0"/>
        <w:ind w:firstLine="422" w:firstLineChars="200"/>
        <w:jc w:val="both"/>
        <w:rPr>
          <w:bCs/>
          <w:color w:val="auto"/>
          <w:kern w:val="2"/>
          <w:sz w:val="21"/>
          <w:szCs w:val="21"/>
          <w:highlight w:val="none"/>
        </w:rPr>
      </w:pPr>
      <w:r>
        <w:rPr>
          <w:b/>
          <w:color w:val="auto"/>
          <w:kern w:val="2"/>
          <w:sz w:val="21"/>
          <w:szCs w:val="21"/>
          <w:highlight w:val="none"/>
        </w:rPr>
        <w:t>1</w:t>
      </w:r>
      <w:r>
        <w:rPr>
          <w:rFonts w:hint="eastAsia"/>
          <w:b/>
          <w:color w:val="auto"/>
          <w:kern w:val="2"/>
          <w:sz w:val="21"/>
          <w:szCs w:val="21"/>
          <w:highlight w:val="none"/>
        </w:rPr>
        <w:t>3、</w:t>
      </w:r>
      <w:r>
        <w:rPr>
          <w:rFonts w:hint="eastAsia"/>
          <w:b/>
          <w:color w:val="auto"/>
          <w:kern w:val="28"/>
          <w:sz w:val="21"/>
          <w:szCs w:val="21"/>
          <w:highlight w:val="none"/>
        </w:rPr>
        <w:t>保险金申请人</w:t>
      </w:r>
      <w:r>
        <w:rPr>
          <w:rFonts w:hint="eastAsia"/>
          <w:b/>
          <w:color w:val="auto"/>
          <w:kern w:val="2"/>
          <w:sz w:val="21"/>
          <w:szCs w:val="21"/>
          <w:highlight w:val="none"/>
        </w:rPr>
        <w:t>：</w:t>
      </w:r>
      <w:r>
        <w:rPr>
          <w:rFonts w:hint="eastAsia"/>
          <w:bCs/>
          <w:color w:val="auto"/>
          <w:kern w:val="2"/>
          <w:sz w:val="21"/>
          <w:szCs w:val="21"/>
          <w:highlight w:val="none"/>
        </w:rPr>
        <w:t>指受益人或被保险人的继承人或依法享有保险金请求权的其他自然人。</w:t>
      </w:r>
    </w:p>
    <w:p>
      <w:pPr>
        <w:autoSpaceDE w:val="0"/>
        <w:autoSpaceDN w:val="0"/>
        <w:adjustRightInd w:val="0"/>
        <w:spacing w:after="156" w:afterLines="50" w:line="240" w:lineRule="auto"/>
        <w:ind w:firstLine="422" w:firstLineChars="200"/>
        <w:textAlignment w:val="bottom"/>
        <w:rPr>
          <w:rFonts w:hAnsi="宋体" w:cs="宋体"/>
          <w:bCs/>
          <w:color w:val="auto"/>
          <w:kern w:val="2"/>
          <w:sz w:val="21"/>
          <w:szCs w:val="21"/>
          <w:highlight w:val="none"/>
        </w:rPr>
      </w:pPr>
      <w:r>
        <w:rPr>
          <w:rFonts w:hAnsi="宋体" w:cs="宋体"/>
          <w:b/>
          <w:bCs w:val="0"/>
          <w:color w:val="auto"/>
          <w:kern w:val="2"/>
          <w:sz w:val="21"/>
          <w:szCs w:val="21"/>
          <w:highlight w:val="none"/>
        </w:rPr>
        <w:t>1</w:t>
      </w:r>
      <w:r>
        <w:rPr>
          <w:rFonts w:hint="eastAsia" w:hAnsi="宋体" w:cs="宋体"/>
          <w:b/>
          <w:color w:val="auto"/>
          <w:kern w:val="2"/>
          <w:sz w:val="21"/>
          <w:szCs w:val="21"/>
          <w:highlight w:val="none"/>
        </w:rPr>
        <w:t>4、组织病理学检查：</w:t>
      </w:r>
      <w:r>
        <w:rPr>
          <w:rFonts w:hint="eastAsia" w:hAnsi="宋体" w:cs="宋体"/>
          <w:bCs/>
          <w:color w:val="auto"/>
          <w:kern w:val="2"/>
          <w:sz w:val="21"/>
          <w:szCs w:val="21"/>
          <w:highlight w:val="none"/>
        </w:rPr>
        <w:t>组织病理学检查是通过局部切除、钳取、穿刺等手术方法，从患者机体采取病变组织块，经过包埋、切片后，进行病理检查的方法。</w:t>
      </w:r>
    </w:p>
    <w:p>
      <w:pPr>
        <w:autoSpaceDE w:val="0"/>
        <w:autoSpaceDN w:val="0"/>
        <w:adjustRightInd w:val="0"/>
        <w:spacing w:after="156" w:afterLines="50" w:line="240" w:lineRule="auto"/>
        <w:ind w:firstLine="422" w:firstLineChars="200"/>
        <w:textAlignment w:val="bottom"/>
        <w:rPr>
          <w:rFonts w:hAnsi="宋体" w:cs="宋体"/>
          <w:b/>
          <w:color w:val="auto"/>
          <w:kern w:val="2"/>
          <w:sz w:val="21"/>
          <w:szCs w:val="21"/>
          <w:highlight w:val="none"/>
        </w:rPr>
      </w:pPr>
      <w:r>
        <w:rPr>
          <w:rFonts w:hint="eastAsia" w:hAnsi="宋体" w:cs="宋体"/>
          <w:b/>
          <w:color w:val="auto"/>
          <w:kern w:val="2"/>
          <w:sz w:val="21"/>
          <w:szCs w:val="21"/>
          <w:highlight w:val="none"/>
        </w:rPr>
        <w:t>通过采集病变部位脱落细胞、细针吸取病变部位细胞、体腔积液分离病变细胞等方式获取病变细胞，制成涂片，进行病理检查的方法，属于细胞病理学检查，不属于组织病理学检查。</w:t>
      </w:r>
    </w:p>
    <w:p>
      <w:pPr>
        <w:autoSpaceDE w:val="0"/>
        <w:autoSpaceDN w:val="0"/>
        <w:adjustRightInd w:val="0"/>
        <w:spacing w:after="156" w:afterLines="50" w:line="240" w:lineRule="auto"/>
        <w:ind w:firstLine="422" w:firstLineChars="200"/>
        <w:textAlignment w:val="bottom"/>
        <w:rPr>
          <w:rFonts w:hAnsi="宋体" w:cs="宋体"/>
          <w:bCs/>
          <w:color w:val="auto"/>
          <w:kern w:val="2"/>
          <w:sz w:val="21"/>
          <w:szCs w:val="21"/>
          <w:highlight w:val="none"/>
        </w:rPr>
      </w:pPr>
      <w:r>
        <w:rPr>
          <w:rFonts w:hAnsi="宋体" w:cs="宋体"/>
          <w:b/>
          <w:bCs w:val="0"/>
          <w:color w:val="auto"/>
          <w:kern w:val="2"/>
          <w:sz w:val="21"/>
          <w:szCs w:val="21"/>
          <w:highlight w:val="none"/>
        </w:rPr>
        <w:t>1</w:t>
      </w:r>
      <w:r>
        <w:rPr>
          <w:rFonts w:hint="eastAsia" w:hAnsi="宋体" w:cs="宋体"/>
          <w:b/>
          <w:color w:val="auto"/>
          <w:kern w:val="2"/>
          <w:sz w:val="21"/>
          <w:szCs w:val="21"/>
          <w:highlight w:val="none"/>
        </w:rPr>
        <w:t>5、肢体：</w:t>
      </w:r>
      <w:r>
        <w:rPr>
          <w:rFonts w:hint="eastAsia" w:hAnsi="宋体" w:cs="宋体"/>
          <w:bCs/>
          <w:color w:val="auto"/>
          <w:kern w:val="2"/>
          <w:sz w:val="21"/>
          <w:szCs w:val="21"/>
          <w:highlight w:val="none"/>
        </w:rPr>
        <w:t>是指包括肩关节的整个上肢或包括髋关节的整个下肢。</w:t>
      </w:r>
    </w:p>
    <w:p>
      <w:pPr>
        <w:autoSpaceDE w:val="0"/>
        <w:autoSpaceDN w:val="0"/>
        <w:adjustRightInd w:val="0"/>
        <w:spacing w:after="156" w:afterLines="50" w:line="240" w:lineRule="auto"/>
        <w:ind w:firstLine="422" w:firstLineChars="200"/>
        <w:textAlignment w:val="bottom"/>
        <w:rPr>
          <w:rFonts w:hAnsi="宋体" w:cs="宋体"/>
          <w:bCs/>
          <w:color w:val="auto"/>
          <w:kern w:val="2"/>
          <w:sz w:val="21"/>
          <w:szCs w:val="21"/>
          <w:highlight w:val="none"/>
        </w:rPr>
      </w:pPr>
      <w:r>
        <w:rPr>
          <w:rFonts w:hAnsi="宋体" w:cs="宋体"/>
          <w:b/>
          <w:bCs w:val="0"/>
          <w:color w:val="auto"/>
          <w:kern w:val="2"/>
          <w:sz w:val="21"/>
          <w:szCs w:val="21"/>
          <w:highlight w:val="none"/>
        </w:rPr>
        <w:t>1</w:t>
      </w:r>
      <w:r>
        <w:rPr>
          <w:rFonts w:hint="eastAsia" w:hAnsi="宋体" w:cs="宋体"/>
          <w:b/>
          <w:color w:val="auto"/>
          <w:kern w:val="2"/>
          <w:sz w:val="21"/>
          <w:szCs w:val="21"/>
          <w:highlight w:val="none"/>
        </w:rPr>
        <w:t>6、肌力</w:t>
      </w:r>
      <w:r>
        <w:rPr>
          <w:rFonts w:hint="eastAsia" w:hAnsi="宋体" w:cs="宋体"/>
          <w:b w:val="0"/>
          <w:bCs/>
          <w:color w:val="auto"/>
          <w:kern w:val="2"/>
          <w:sz w:val="21"/>
          <w:szCs w:val="21"/>
          <w:highlight w:val="none"/>
        </w:rPr>
        <w:t>：</w:t>
      </w:r>
      <w:r>
        <w:rPr>
          <w:rFonts w:hint="eastAsia" w:hAnsi="宋体" w:cs="宋体"/>
          <w:bCs/>
          <w:color w:val="auto"/>
          <w:kern w:val="2"/>
          <w:sz w:val="21"/>
          <w:szCs w:val="21"/>
          <w:highlight w:val="none"/>
        </w:rPr>
        <w:t>指肌肉收缩时的力量。肌力划分为</w:t>
      </w:r>
      <w:r>
        <w:rPr>
          <w:rFonts w:hAnsi="宋体" w:cs="宋体"/>
          <w:bCs/>
          <w:color w:val="auto"/>
          <w:kern w:val="2"/>
          <w:sz w:val="21"/>
          <w:szCs w:val="21"/>
          <w:highlight w:val="none"/>
        </w:rPr>
        <w:t>0-5级，具体为：</w:t>
      </w:r>
    </w:p>
    <w:p>
      <w:pPr>
        <w:autoSpaceDE w:val="0"/>
        <w:autoSpaceDN w:val="0"/>
        <w:adjustRightInd w:val="0"/>
        <w:spacing w:after="156" w:afterLines="50" w:line="240" w:lineRule="auto"/>
        <w:ind w:firstLine="420" w:firstLineChars="200"/>
        <w:textAlignment w:val="bottom"/>
        <w:rPr>
          <w:rFonts w:hAnsi="宋体" w:cs="宋体"/>
          <w:bCs/>
          <w:color w:val="auto"/>
          <w:kern w:val="2"/>
          <w:sz w:val="21"/>
          <w:szCs w:val="21"/>
          <w:highlight w:val="none"/>
        </w:rPr>
      </w:pPr>
      <w:r>
        <w:rPr>
          <w:rFonts w:hAnsi="宋体" w:cs="宋体"/>
          <w:bCs/>
          <w:color w:val="auto"/>
          <w:kern w:val="2"/>
          <w:sz w:val="21"/>
          <w:szCs w:val="21"/>
          <w:highlight w:val="none"/>
        </w:rPr>
        <w:t>0级：肌肉完全瘫痪，毫无收缩。</w:t>
      </w:r>
    </w:p>
    <w:p>
      <w:pPr>
        <w:autoSpaceDE w:val="0"/>
        <w:autoSpaceDN w:val="0"/>
        <w:adjustRightInd w:val="0"/>
        <w:spacing w:after="156" w:afterLines="50" w:line="240" w:lineRule="auto"/>
        <w:ind w:firstLine="420" w:firstLineChars="200"/>
        <w:textAlignment w:val="bottom"/>
        <w:rPr>
          <w:rFonts w:hAnsi="宋体" w:cs="宋体"/>
          <w:bCs/>
          <w:color w:val="auto"/>
          <w:kern w:val="2"/>
          <w:sz w:val="21"/>
          <w:szCs w:val="21"/>
          <w:highlight w:val="none"/>
        </w:rPr>
      </w:pPr>
      <w:r>
        <w:rPr>
          <w:rFonts w:hAnsi="宋体" w:cs="宋体"/>
          <w:bCs/>
          <w:color w:val="auto"/>
          <w:kern w:val="2"/>
          <w:sz w:val="21"/>
          <w:szCs w:val="21"/>
          <w:highlight w:val="none"/>
        </w:rPr>
        <w:t>1级：可看到或者触及肌肉轻微收缩，但不能产生动作。</w:t>
      </w:r>
    </w:p>
    <w:p>
      <w:pPr>
        <w:autoSpaceDE w:val="0"/>
        <w:autoSpaceDN w:val="0"/>
        <w:adjustRightInd w:val="0"/>
        <w:spacing w:after="156" w:afterLines="50" w:line="240" w:lineRule="auto"/>
        <w:ind w:firstLine="420" w:firstLineChars="200"/>
        <w:textAlignment w:val="bottom"/>
        <w:rPr>
          <w:rFonts w:hAnsi="宋体" w:cs="宋体"/>
          <w:bCs/>
          <w:color w:val="auto"/>
          <w:kern w:val="2"/>
          <w:sz w:val="21"/>
          <w:szCs w:val="21"/>
          <w:highlight w:val="none"/>
        </w:rPr>
      </w:pPr>
      <w:r>
        <w:rPr>
          <w:rFonts w:hAnsi="宋体" w:cs="宋体"/>
          <w:bCs/>
          <w:color w:val="auto"/>
          <w:kern w:val="2"/>
          <w:sz w:val="21"/>
          <w:szCs w:val="21"/>
          <w:highlight w:val="none"/>
        </w:rPr>
        <w:t>2级：肌肉在不受重力影响下，可进行运动，即肢体能在床面上移动，但不能抬高。</w:t>
      </w:r>
    </w:p>
    <w:p>
      <w:pPr>
        <w:autoSpaceDE w:val="0"/>
        <w:autoSpaceDN w:val="0"/>
        <w:adjustRightInd w:val="0"/>
        <w:spacing w:after="156" w:afterLines="50" w:line="240" w:lineRule="auto"/>
        <w:ind w:firstLine="420" w:firstLineChars="200"/>
        <w:textAlignment w:val="bottom"/>
        <w:rPr>
          <w:rFonts w:hAnsi="宋体" w:cs="宋体"/>
          <w:bCs/>
          <w:color w:val="auto"/>
          <w:kern w:val="2"/>
          <w:sz w:val="21"/>
          <w:szCs w:val="21"/>
          <w:highlight w:val="none"/>
        </w:rPr>
      </w:pPr>
      <w:r>
        <w:rPr>
          <w:rFonts w:hAnsi="宋体" w:cs="宋体"/>
          <w:bCs/>
          <w:color w:val="auto"/>
          <w:kern w:val="2"/>
          <w:sz w:val="21"/>
          <w:szCs w:val="21"/>
          <w:highlight w:val="none"/>
        </w:rPr>
        <w:t>3级：在和地心引力相反的方向中尚能完成其动作，但不能对抗外加阻力。</w:t>
      </w:r>
    </w:p>
    <w:p>
      <w:pPr>
        <w:autoSpaceDE w:val="0"/>
        <w:autoSpaceDN w:val="0"/>
        <w:adjustRightInd w:val="0"/>
        <w:spacing w:after="156" w:afterLines="50" w:line="240" w:lineRule="auto"/>
        <w:ind w:firstLine="420" w:firstLineChars="200"/>
        <w:textAlignment w:val="bottom"/>
        <w:rPr>
          <w:rFonts w:hAnsi="宋体" w:cs="宋体"/>
          <w:bCs/>
          <w:color w:val="auto"/>
          <w:kern w:val="2"/>
          <w:sz w:val="21"/>
          <w:szCs w:val="21"/>
          <w:highlight w:val="none"/>
        </w:rPr>
      </w:pPr>
      <w:r>
        <w:rPr>
          <w:rFonts w:hAnsi="宋体" w:cs="宋体"/>
          <w:bCs/>
          <w:color w:val="auto"/>
          <w:kern w:val="2"/>
          <w:sz w:val="21"/>
          <w:szCs w:val="21"/>
          <w:highlight w:val="none"/>
        </w:rPr>
        <w:t>4级：能对抗一定的阻力，但较正常人为低。</w:t>
      </w:r>
    </w:p>
    <w:p>
      <w:pPr>
        <w:autoSpaceDE w:val="0"/>
        <w:autoSpaceDN w:val="0"/>
        <w:adjustRightInd w:val="0"/>
        <w:spacing w:after="156" w:afterLines="50" w:line="240" w:lineRule="auto"/>
        <w:ind w:firstLine="420" w:firstLineChars="200"/>
        <w:textAlignment w:val="bottom"/>
        <w:rPr>
          <w:rFonts w:hAnsi="宋体" w:cs="宋体"/>
          <w:bCs/>
          <w:color w:val="auto"/>
          <w:sz w:val="21"/>
          <w:szCs w:val="21"/>
          <w:highlight w:val="none"/>
        </w:rPr>
      </w:pPr>
      <w:r>
        <w:rPr>
          <w:rFonts w:hAnsi="宋体" w:cs="宋体"/>
          <w:bCs/>
          <w:color w:val="auto"/>
          <w:kern w:val="2"/>
          <w:sz w:val="21"/>
          <w:szCs w:val="21"/>
          <w:highlight w:val="none"/>
        </w:rPr>
        <w:t>5级：正常肌力。</w:t>
      </w:r>
    </w:p>
    <w:p>
      <w:pPr>
        <w:widowControl/>
        <w:autoSpaceDE w:val="0"/>
        <w:autoSpaceDN w:val="0"/>
        <w:adjustRightInd w:val="0"/>
        <w:spacing w:after="156" w:afterLines="50" w:line="240" w:lineRule="auto"/>
        <w:ind w:firstLine="422" w:firstLineChars="200"/>
        <w:jc w:val="left"/>
        <w:textAlignment w:val="bottom"/>
        <w:rPr>
          <w:rFonts w:hAnsi="宋体" w:cs="宋体"/>
          <w:bCs/>
          <w:color w:val="auto"/>
          <w:sz w:val="21"/>
          <w:szCs w:val="21"/>
          <w:highlight w:val="none"/>
        </w:rPr>
      </w:pPr>
      <w:r>
        <w:rPr>
          <w:rFonts w:hAnsi="宋体" w:cs="宋体"/>
          <w:b/>
          <w:bCs w:val="0"/>
          <w:color w:val="auto"/>
          <w:sz w:val="21"/>
          <w:szCs w:val="21"/>
          <w:highlight w:val="none"/>
        </w:rPr>
        <w:t>1</w:t>
      </w:r>
      <w:r>
        <w:rPr>
          <w:rFonts w:hint="eastAsia" w:hAnsi="宋体" w:cs="宋体"/>
          <w:b/>
          <w:color w:val="auto"/>
          <w:sz w:val="21"/>
          <w:szCs w:val="21"/>
          <w:highlight w:val="none"/>
        </w:rPr>
        <w:t>7、语言能力完全丧失</w:t>
      </w:r>
      <w:r>
        <w:rPr>
          <w:rFonts w:hint="eastAsia" w:hAnsi="宋体" w:cs="宋体"/>
          <w:b w:val="0"/>
          <w:bCs/>
          <w:color w:val="auto"/>
          <w:sz w:val="21"/>
          <w:szCs w:val="21"/>
          <w:highlight w:val="none"/>
        </w:rPr>
        <w:t>：</w:t>
      </w:r>
      <w:r>
        <w:rPr>
          <w:rFonts w:hint="eastAsia" w:hAnsi="宋体" w:cs="宋体"/>
          <w:bCs/>
          <w:color w:val="auto"/>
          <w:sz w:val="21"/>
          <w:szCs w:val="21"/>
          <w:highlight w:val="none"/>
        </w:rPr>
        <w:t>指无法发出四种语音（包括口唇音、齿舌音、口盖音和喉头音）中的任何三种、或声带全部切除，或因大脑语言中枢受伤害而患失语症。</w:t>
      </w:r>
    </w:p>
    <w:p>
      <w:pPr>
        <w:widowControl/>
        <w:autoSpaceDE w:val="0"/>
        <w:autoSpaceDN w:val="0"/>
        <w:adjustRightInd w:val="0"/>
        <w:spacing w:after="156" w:afterLines="50" w:line="240" w:lineRule="auto"/>
        <w:ind w:firstLine="422" w:firstLineChars="200"/>
        <w:jc w:val="left"/>
        <w:textAlignment w:val="bottom"/>
        <w:rPr>
          <w:rFonts w:hAnsi="宋体" w:cs="宋体"/>
          <w:bCs/>
          <w:color w:val="auto"/>
          <w:sz w:val="21"/>
          <w:szCs w:val="21"/>
          <w:highlight w:val="none"/>
        </w:rPr>
      </w:pPr>
      <w:r>
        <w:rPr>
          <w:rFonts w:hAnsi="宋体" w:cs="宋体"/>
          <w:b/>
          <w:bCs w:val="0"/>
          <w:color w:val="auto"/>
          <w:sz w:val="21"/>
          <w:szCs w:val="21"/>
          <w:highlight w:val="none"/>
        </w:rPr>
        <w:t>1</w:t>
      </w:r>
      <w:r>
        <w:rPr>
          <w:rFonts w:hint="eastAsia" w:hAnsi="宋体" w:cs="宋体"/>
          <w:b/>
          <w:color w:val="auto"/>
          <w:sz w:val="21"/>
          <w:szCs w:val="21"/>
          <w:highlight w:val="none"/>
        </w:rPr>
        <w:t>8、严重咀嚼吞咽功能障碍：</w:t>
      </w:r>
      <w:r>
        <w:rPr>
          <w:rFonts w:hint="eastAsia" w:hAnsi="宋体" w:cs="宋体"/>
          <w:bCs/>
          <w:color w:val="auto"/>
          <w:sz w:val="21"/>
          <w:szCs w:val="21"/>
          <w:highlight w:val="none"/>
        </w:rPr>
        <w:t>指因牙齿以外的原因导致器质障碍或机能障碍，以致不能作咀嚼吞咽运动，除流质食物外不能摄取或吞咽的状态。</w:t>
      </w:r>
    </w:p>
    <w:p>
      <w:pPr>
        <w:widowControl/>
        <w:autoSpaceDE w:val="0"/>
        <w:autoSpaceDN w:val="0"/>
        <w:adjustRightInd w:val="0"/>
        <w:spacing w:after="156" w:afterLines="50" w:line="240" w:lineRule="auto"/>
        <w:ind w:firstLine="422" w:firstLineChars="200"/>
        <w:jc w:val="left"/>
        <w:textAlignment w:val="bottom"/>
        <w:rPr>
          <w:rFonts w:hAnsi="宋体" w:cs="宋体"/>
          <w:bCs/>
          <w:color w:val="auto"/>
          <w:sz w:val="21"/>
          <w:szCs w:val="21"/>
          <w:highlight w:val="none"/>
        </w:rPr>
      </w:pPr>
      <w:r>
        <w:rPr>
          <w:rFonts w:hAnsi="宋体" w:cs="宋体"/>
          <w:b/>
          <w:bCs w:val="0"/>
          <w:color w:val="auto"/>
          <w:sz w:val="21"/>
          <w:szCs w:val="21"/>
          <w:highlight w:val="none"/>
        </w:rPr>
        <w:t>1</w:t>
      </w:r>
      <w:r>
        <w:rPr>
          <w:rFonts w:hint="eastAsia" w:hAnsi="宋体" w:cs="宋体"/>
          <w:b/>
          <w:color w:val="auto"/>
          <w:sz w:val="21"/>
          <w:szCs w:val="21"/>
          <w:highlight w:val="none"/>
        </w:rPr>
        <w:t>9、六项基本日常生活活动：</w:t>
      </w:r>
      <w:r>
        <w:rPr>
          <w:rFonts w:hint="eastAsia" w:hAnsi="宋体" w:cs="宋体"/>
          <w:bCs/>
          <w:color w:val="auto"/>
          <w:sz w:val="21"/>
          <w:szCs w:val="21"/>
          <w:highlight w:val="none"/>
        </w:rPr>
        <w:t>是指（</w:t>
      </w:r>
      <w:r>
        <w:rPr>
          <w:rFonts w:hAnsi="宋体" w:cs="宋体"/>
          <w:bCs/>
          <w:color w:val="auto"/>
          <w:sz w:val="21"/>
          <w:szCs w:val="21"/>
          <w:highlight w:val="none"/>
        </w:rPr>
        <w:t>1）穿衣：自己能够穿衣及脱衣；（2）移动：自己从一个房间到另一个房间；（3）行动：自己上下床或上下轮椅；（4）如厕：自己控制进行大小便；（5）进食：自己从已准备好的碗或碟中取食物放入口中；（6）洗澡：自己进行淋浴或盆浴。</w:t>
      </w:r>
    </w:p>
    <w:p>
      <w:pPr>
        <w:widowControl/>
        <w:autoSpaceDE w:val="0"/>
        <w:autoSpaceDN w:val="0"/>
        <w:adjustRightInd w:val="0"/>
        <w:spacing w:after="156" w:afterLines="50" w:line="240" w:lineRule="auto"/>
        <w:ind w:firstLine="420" w:firstLineChars="200"/>
        <w:jc w:val="left"/>
        <w:textAlignment w:val="bottom"/>
        <w:rPr>
          <w:rFonts w:hAnsi="宋体" w:cs="宋体"/>
          <w:b w:val="0"/>
          <w:bCs/>
          <w:color w:val="auto"/>
          <w:sz w:val="21"/>
          <w:szCs w:val="21"/>
          <w:highlight w:val="none"/>
        </w:rPr>
      </w:pPr>
      <w:r>
        <w:rPr>
          <w:rFonts w:hint="eastAsia" w:hAnsi="宋体" w:cs="宋体"/>
          <w:b w:val="0"/>
          <w:bCs/>
          <w:color w:val="auto"/>
          <w:sz w:val="21"/>
          <w:szCs w:val="21"/>
          <w:highlight w:val="none"/>
        </w:rPr>
        <w:t>六项基本日常生活活动能力的鉴定不适用于</w:t>
      </w:r>
      <w:r>
        <w:rPr>
          <w:rFonts w:hAnsi="宋体" w:cs="宋体"/>
          <w:b w:val="0"/>
          <w:bCs/>
          <w:color w:val="auto"/>
          <w:sz w:val="21"/>
          <w:szCs w:val="21"/>
          <w:highlight w:val="none"/>
        </w:rPr>
        <w:t>0-3周岁幼儿。</w:t>
      </w:r>
    </w:p>
    <w:p>
      <w:pPr>
        <w:widowControl/>
        <w:autoSpaceDE w:val="0"/>
        <w:autoSpaceDN w:val="0"/>
        <w:adjustRightInd w:val="0"/>
        <w:spacing w:after="156" w:afterLines="50" w:line="240" w:lineRule="auto"/>
        <w:ind w:firstLine="422" w:firstLineChars="200"/>
        <w:jc w:val="left"/>
        <w:textAlignment w:val="bottom"/>
        <w:rPr>
          <w:rFonts w:hAnsi="宋体" w:cs="宋体"/>
          <w:bCs/>
          <w:color w:val="auto"/>
          <w:sz w:val="21"/>
          <w:szCs w:val="21"/>
          <w:highlight w:val="none"/>
        </w:rPr>
      </w:pPr>
      <w:r>
        <w:rPr>
          <w:rFonts w:hint="eastAsia" w:hAnsi="宋体" w:cs="宋体"/>
          <w:b/>
          <w:color w:val="auto"/>
          <w:sz w:val="21"/>
          <w:szCs w:val="21"/>
          <w:highlight w:val="none"/>
        </w:rPr>
        <w:t>20、酗酒：</w:t>
      </w:r>
      <w:r>
        <w:rPr>
          <w:rFonts w:hint="eastAsia" w:hAnsi="宋体" w:cs="宋体"/>
          <w:bCs/>
          <w:color w:val="auto"/>
          <w:sz w:val="21"/>
          <w:szCs w:val="21"/>
          <w:highlight w:val="none"/>
        </w:rPr>
        <w:t>是指酒精摄入过量。长期过量饮酒导致身体脏器严重损害，或一次大量饮酒导致急性酒精中毒或自制力丧失造成自身伤害、斗殴肇事或交通肇事。酒精过量由医疗机构或公安部门判定。</w:t>
      </w:r>
    </w:p>
    <w:p>
      <w:pPr>
        <w:widowControl/>
        <w:autoSpaceDE w:val="0"/>
        <w:autoSpaceDN w:val="0"/>
        <w:adjustRightInd w:val="0"/>
        <w:spacing w:after="156" w:afterLines="50" w:line="240" w:lineRule="auto"/>
        <w:ind w:firstLine="422" w:firstLineChars="200"/>
        <w:jc w:val="left"/>
        <w:textAlignment w:val="bottom"/>
        <w:rPr>
          <w:rFonts w:hAnsi="宋体" w:cs="宋体"/>
          <w:b w:val="0"/>
          <w:bCs/>
          <w:color w:val="auto"/>
          <w:sz w:val="21"/>
          <w:szCs w:val="21"/>
          <w:highlight w:val="none"/>
        </w:rPr>
      </w:pPr>
      <w:r>
        <w:rPr>
          <w:rFonts w:hint="eastAsia" w:hAnsi="宋体" w:cs="宋体"/>
          <w:b/>
          <w:color w:val="auto"/>
          <w:sz w:val="21"/>
          <w:szCs w:val="21"/>
          <w:highlight w:val="none"/>
        </w:rPr>
        <w:t>21、永久不可逆：</w:t>
      </w:r>
      <w:r>
        <w:rPr>
          <w:rFonts w:hint="eastAsia" w:hAnsi="宋体" w:cs="宋体"/>
          <w:bCs/>
          <w:color w:val="auto"/>
          <w:sz w:val="21"/>
          <w:szCs w:val="21"/>
          <w:highlight w:val="none"/>
        </w:rPr>
        <w:t>指自疾病确诊或意外伤害发生之日起，经过积极治疗</w:t>
      </w:r>
      <w:r>
        <w:rPr>
          <w:rFonts w:hAnsi="宋体" w:cs="宋体"/>
          <w:bCs/>
          <w:color w:val="auto"/>
          <w:sz w:val="21"/>
          <w:szCs w:val="21"/>
          <w:highlight w:val="none"/>
        </w:rPr>
        <w:t>180天后，仍无法通过现有医疗手段恢复。</w:t>
      </w:r>
      <w:r>
        <w:rPr>
          <w:rFonts w:hAnsi="宋体" w:cs="宋体"/>
          <w:b w:val="0"/>
          <w:bCs/>
          <w:color w:val="auto"/>
          <w:sz w:val="21"/>
          <w:szCs w:val="21"/>
          <w:highlight w:val="none"/>
        </w:rPr>
        <w:t xml:space="preserve"> </w:t>
      </w:r>
    </w:p>
    <w:p>
      <w:pPr>
        <w:widowControl/>
        <w:autoSpaceDE w:val="0"/>
        <w:autoSpaceDN w:val="0"/>
        <w:adjustRightInd w:val="0"/>
        <w:spacing w:after="156" w:afterLines="50" w:line="240" w:lineRule="auto"/>
        <w:ind w:firstLine="422" w:firstLineChars="200"/>
        <w:jc w:val="left"/>
        <w:textAlignment w:val="bottom"/>
        <w:rPr>
          <w:rFonts w:hAnsi="宋体" w:cs="宋体"/>
          <w:bCs/>
          <w:color w:val="auto"/>
          <w:sz w:val="21"/>
          <w:szCs w:val="21"/>
          <w:highlight w:val="none"/>
        </w:rPr>
      </w:pPr>
      <w:r>
        <w:rPr>
          <w:rFonts w:hAnsi="宋体" w:cs="宋体"/>
          <w:b/>
          <w:bCs w:val="0"/>
          <w:color w:val="auto"/>
          <w:sz w:val="21"/>
          <w:szCs w:val="21"/>
          <w:highlight w:val="none"/>
        </w:rPr>
        <w:t>2</w:t>
      </w:r>
      <w:r>
        <w:rPr>
          <w:rFonts w:hint="eastAsia" w:hAnsi="宋体" w:cs="宋体"/>
          <w:b/>
          <w:color w:val="auto"/>
          <w:sz w:val="21"/>
          <w:szCs w:val="21"/>
          <w:highlight w:val="none"/>
        </w:rPr>
        <w:t>2、美国纽约心脏病学会（</w:t>
      </w:r>
      <w:r>
        <w:rPr>
          <w:rFonts w:hAnsi="宋体" w:cs="宋体"/>
          <w:b/>
          <w:color w:val="auto"/>
          <w:sz w:val="21"/>
          <w:szCs w:val="21"/>
          <w:highlight w:val="none"/>
        </w:rPr>
        <w:t xml:space="preserve">New York Heart Association，NYHA）心功能状态分级 </w:t>
      </w:r>
      <w:r>
        <w:rPr>
          <w:rFonts w:hint="eastAsia" w:hAnsi="宋体" w:cs="宋体"/>
          <w:b/>
          <w:color w:val="auto"/>
          <w:sz w:val="21"/>
          <w:szCs w:val="21"/>
          <w:highlight w:val="none"/>
        </w:rPr>
        <w:t>：</w:t>
      </w:r>
      <w:r>
        <w:rPr>
          <w:rFonts w:hint="eastAsia" w:hAnsi="宋体" w:cs="宋体"/>
          <w:bCs/>
          <w:color w:val="auto"/>
          <w:sz w:val="21"/>
          <w:szCs w:val="21"/>
          <w:highlight w:val="none"/>
        </w:rPr>
        <w:t>美国纽约心脏病学会（</w:t>
      </w:r>
      <w:r>
        <w:rPr>
          <w:rFonts w:hAnsi="宋体" w:cs="宋体"/>
          <w:bCs/>
          <w:color w:val="auto"/>
          <w:sz w:val="21"/>
          <w:szCs w:val="21"/>
          <w:highlight w:val="none"/>
        </w:rPr>
        <w:t>New York Heart Association，NYHA）将心功能状态分为四级：</w:t>
      </w:r>
    </w:p>
    <w:p>
      <w:pPr>
        <w:widowControl/>
        <w:autoSpaceDE w:val="0"/>
        <w:autoSpaceDN w:val="0"/>
        <w:adjustRightInd w:val="0"/>
        <w:spacing w:after="156" w:afterLines="50" w:line="240" w:lineRule="auto"/>
        <w:ind w:firstLine="420" w:firstLineChars="200"/>
        <w:jc w:val="left"/>
        <w:textAlignment w:val="bottom"/>
        <w:rPr>
          <w:rFonts w:hAnsi="宋体" w:cs="宋体"/>
          <w:bCs/>
          <w:color w:val="auto"/>
          <w:sz w:val="21"/>
          <w:szCs w:val="21"/>
          <w:highlight w:val="none"/>
        </w:rPr>
      </w:pPr>
      <w:r>
        <w:rPr>
          <w:rFonts w:hint="eastAsia" w:hAnsi="宋体" w:cs="宋体"/>
          <w:bCs/>
          <w:color w:val="auto"/>
          <w:sz w:val="21"/>
          <w:szCs w:val="21"/>
          <w:highlight w:val="none"/>
        </w:rPr>
        <w:t>Ⅰ级：心脏病病人日常活动量不受限制，一般活动不引起乏力、呼吸困难等心衰症状。</w:t>
      </w:r>
    </w:p>
    <w:p>
      <w:pPr>
        <w:widowControl/>
        <w:autoSpaceDE w:val="0"/>
        <w:autoSpaceDN w:val="0"/>
        <w:adjustRightInd w:val="0"/>
        <w:spacing w:after="156" w:afterLines="50" w:line="240" w:lineRule="auto"/>
        <w:ind w:firstLine="420" w:firstLineChars="200"/>
        <w:jc w:val="left"/>
        <w:textAlignment w:val="bottom"/>
        <w:rPr>
          <w:rFonts w:hAnsi="宋体" w:cs="宋体"/>
          <w:bCs/>
          <w:color w:val="auto"/>
          <w:sz w:val="21"/>
          <w:szCs w:val="21"/>
          <w:highlight w:val="none"/>
        </w:rPr>
      </w:pPr>
      <w:r>
        <w:rPr>
          <w:rFonts w:hint="eastAsia" w:hAnsi="宋体" w:cs="宋体"/>
          <w:bCs/>
          <w:color w:val="auto"/>
          <w:sz w:val="21"/>
          <w:szCs w:val="21"/>
          <w:highlight w:val="none"/>
        </w:rPr>
        <w:t>Ⅱ级：心脏病病人体力活动轻度受限制，休息时无自觉症状，一般活动下可出现心衰症状。</w:t>
      </w:r>
    </w:p>
    <w:p>
      <w:pPr>
        <w:widowControl/>
        <w:autoSpaceDE w:val="0"/>
        <w:autoSpaceDN w:val="0"/>
        <w:adjustRightInd w:val="0"/>
        <w:spacing w:after="156" w:afterLines="50" w:line="240" w:lineRule="auto"/>
        <w:ind w:firstLine="420" w:firstLineChars="200"/>
        <w:jc w:val="left"/>
        <w:textAlignment w:val="bottom"/>
        <w:rPr>
          <w:rFonts w:hAnsi="宋体" w:cs="宋体"/>
          <w:bCs/>
          <w:color w:val="auto"/>
          <w:sz w:val="21"/>
          <w:szCs w:val="21"/>
          <w:highlight w:val="none"/>
        </w:rPr>
      </w:pPr>
      <w:r>
        <w:rPr>
          <w:rFonts w:hint="eastAsia" w:hAnsi="宋体" w:cs="宋体"/>
          <w:bCs/>
          <w:color w:val="auto"/>
          <w:sz w:val="21"/>
          <w:szCs w:val="21"/>
          <w:highlight w:val="none"/>
        </w:rPr>
        <w:t>Ⅲ级：心脏病病人体力活动明显受限，低于平时一般活动即引起心衰症状。</w:t>
      </w:r>
    </w:p>
    <w:p>
      <w:pPr>
        <w:widowControl/>
        <w:autoSpaceDE w:val="0"/>
        <w:autoSpaceDN w:val="0"/>
        <w:adjustRightInd w:val="0"/>
        <w:snapToGrid w:val="0"/>
        <w:spacing w:after="156" w:afterLines="50" w:afterAutospacing="0"/>
        <w:ind w:firstLine="420" w:firstLineChars="200"/>
        <w:jc w:val="left"/>
        <w:textAlignment w:val="bottom"/>
        <w:rPr>
          <w:bCs/>
          <w:color w:val="auto"/>
          <w:kern w:val="2"/>
          <w:sz w:val="21"/>
          <w:szCs w:val="21"/>
          <w:highlight w:val="none"/>
        </w:rPr>
      </w:pPr>
      <w:r>
        <w:rPr>
          <w:rFonts w:hint="eastAsia" w:hAnsi="宋体" w:cs="宋体"/>
          <w:bCs/>
          <w:color w:val="auto"/>
          <w:sz w:val="21"/>
          <w:szCs w:val="21"/>
          <w:highlight w:val="none"/>
        </w:rPr>
        <w:t>Ⅳ级：心脏病病人不能从事任何体力活动，休息状态下也存在心衰症状，活动后加重。</w:t>
      </w:r>
    </w:p>
    <w:p>
      <w:pPr>
        <w:rPr>
          <w:rFonts w:hAnsi="宋体" w:cs="宋体"/>
          <w:bCs/>
          <w:color w:val="auto"/>
          <w:sz w:val="21"/>
          <w:szCs w:val="21"/>
          <w:highlight w:val="none"/>
        </w:rPr>
      </w:pPr>
    </w:p>
    <w:p>
      <w:pPr>
        <w:rPr>
          <w:rFonts w:hAnsi="宋体" w:cs="宋体"/>
          <w:bCs/>
          <w:color w:val="auto"/>
          <w:sz w:val="21"/>
          <w:szCs w:val="21"/>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rPr>
                        <w:rFonts w:eastAsia="宋体"/>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2914"/>
    <w:rsid w:val="00076BB6"/>
    <w:rsid w:val="000924CD"/>
    <w:rsid w:val="0009389F"/>
    <w:rsid w:val="0011048D"/>
    <w:rsid w:val="001434BB"/>
    <w:rsid w:val="00172A27"/>
    <w:rsid w:val="001935F8"/>
    <w:rsid w:val="001E779E"/>
    <w:rsid w:val="002C72A1"/>
    <w:rsid w:val="002F2007"/>
    <w:rsid w:val="0030603E"/>
    <w:rsid w:val="003A7A1C"/>
    <w:rsid w:val="004A5079"/>
    <w:rsid w:val="004F1BCA"/>
    <w:rsid w:val="005032B7"/>
    <w:rsid w:val="00575136"/>
    <w:rsid w:val="006008AC"/>
    <w:rsid w:val="00611254"/>
    <w:rsid w:val="006309B6"/>
    <w:rsid w:val="00727481"/>
    <w:rsid w:val="007F2291"/>
    <w:rsid w:val="00804B16"/>
    <w:rsid w:val="008644A0"/>
    <w:rsid w:val="008B2276"/>
    <w:rsid w:val="008C1B06"/>
    <w:rsid w:val="009D261E"/>
    <w:rsid w:val="009D55E2"/>
    <w:rsid w:val="00A6062E"/>
    <w:rsid w:val="00B12D9D"/>
    <w:rsid w:val="00B16089"/>
    <w:rsid w:val="00C17993"/>
    <w:rsid w:val="00C33233"/>
    <w:rsid w:val="00CB754F"/>
    <w:rsid w:val="00D37E64"/>
    <w:rsid w:val="00D93C01"/>
    <w:rsid w:val="00DA1821"/>
    <w:rsid w:val="00DB3EDD"/>
    <w:rsid w:val="00DE3FCB"/>
    <w:rsid w:val="023A2565"/>
    <w:rsid w:val="042436C4"/>
    <w:rsid w:val="06763C13"/>
    <w:rsid w:val="0A7E7D0F"/>
    <w:rsid w:val="11424A69"/>
    <w:rsid w:val="174C6342"/>
    <w:rsid w:val="1F6575C4"/>
    <w:rsid w:val="22854F3D"/>
    <w:rsid w:val="273E2078"/>
    <w:rsid w:val="289800CD"/>
    <w:rsid w:val="2CD56073"/>
    <w:rsid w:val="2CDC68D2"/>
    <w:rsid w:val="2D107A98"/>
    <w:rsid w:val="2E857AAA"/>
    <w:rsid w:val="30CD7324"/>
    <w:rsid w:val="31AC0383"/>
    <w:rsid w:val="322465CB"/>
    <w:rsid w:val="33153A19"/>
    <w:rsid w:val="380014BC"/>
    <w:rsid w:val="39BA1F1F"/>
    <w:rsid w:val="3C6452A1"/>
    <w:rsid w:val="3C9024CD"/>
    <w:rsid w:val="3D6C0777"/>
    <w:rsid w:val="3D7931D9"/>
    <w:rsid w:val="3D8F3970"/>
    <w:rsid w:val="3E003E17"/>
    <w:rsid w:val="421748F2"/>
    <w:rsid w:val="428A71F0"/>
    <w:rsid w:val="444724BE"/>
    <w:rsid w:val="4513485D"/>
    <w:rsid w:val="4B8B26E0"/>
    <w:rsid w:val="53FA23CC"/>
    <w:rsid w:val="56492473"/>
    <w:rsid w:val="58C51BCC"/>
    <w:rsid w:val="5AE15957"/>
    <w:rsid w:val="5CC75C73"/>
    <w:rsid w:val="5F60434A"/>
    <w:rsid w:val="60B55D3E"/>
    <w:rsid w:val="6202633D"/>
    <w:rsid w:val="62EB27A9"/>
    <w:rsid w:val="64A82C36"/>
    <w:rsid w:val="761178AE"/>
    <w:rsid w:val="77431EA1"/>
    <w:rsid w:val="7CF07134"/>
    <w:rsid w:val="7D6D0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annotation subject"/>
    <w:basedOn w:val="2"/>
    <w:next w:val="2"/>
    <w:link w:val="14"/>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customStyle="1" w:styleId="12">
    <w:name w:val="条款正文"/>
    <w:basedOn w:val="1"/>
    <w:unhideWhenUsed/>
    <w:qFormat/>
    <w:uiPriority w:val="0"/>
    <w:pPr>
      <w:adjustRightInd w:val="0"/>
      <w:snapToGrid w:val="0"/>
      <w:ind w:left="840" w:leftChars="400" w:firstLine="420" w:firstLineChars="200"/>
    </w:pPr>
    <w:rPr>
      <w:rFonts w:ascii="Times New Roman"/>
      <w:sz w:val="21"/>
    </w:rPr>
  </w:style>
  <w:style w:type="character" w:customStyle="1" w:styleId="13">
    <w:name w:val="批注文字 字符"/>
    <w:basedOn w:val="10"/>
    <w:link w:val="2"/>
    <w:qFormat/>
    <w:uiPriority w:val="0"/>
    <w:rPr>
      <w:rFonts w:ascii="宋体" w:hAnsi="Times New Roman" w:eastAsia="宋体" w:cs="Times New Roman"/>
      <w:sz w:val="34"/>
      <w:szCs w:val="22"/>
    </w:rPr>
  </w:style>
  <w:style w:type="character" w:customStyle="1" w:styleId="14">
    <w:name w:val="批注主题 字符"/>
    <w:basedOn w:val="13"/>
    <w:link w:val="7"/>
    <w:qFormat/>
    <w:uiPriority w:val="0"/>
    <w:rPr>
      <w:rFonts w:ascii="宋体" w:hAnsi="Times New Roman" w:eastAsia="宋体" w:cs="Times New Roman"/>
      <w:b/>
      <w:bCs/>
      <w:sz w:val="34"/>
      <w:szCs w:val="22"/>
    </w:rPr>
  </w:style>
  <w:style w:type="character" w:customStyle="1" w:styleId="15">
    <w:name w:val="批注框文本 字符"/>
    <w:basedOn w:val="10"/>
    <w:link w:val="3"/>
    <w:qFormat/>
    <w:uiPriority w:val="0"/>
    <w:rPr>
      <w:rFonts w:ascii="宋体" w:hAnsi="Times New Roman" w:eastAsia="宋体" w:cs="Times New Roman"/>
      <w:sz w:val="18"/>
      <w:szCs w:val="18"/>
    </w:rPr>
  </w:style>
  <w:style w:type="character" w:customStyle="1" w:styleId="16">
    <w:name w:val="页眉 字符"/>
    <w:basedOn w:val="10"/>
    <w:link w:val="5"/>
    <w:qFormat/>
    <w:uiPriority w:val="0"/>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17</Pages>
  <Words>2419</Words>
  <Characters>13792</Characters>
  <Lines>114</Lines>
  <Paragraphs>32</Paragraphs>
  <TotalTime>0</TotalTime>
  <ScaleCrop>false</ScaleCrop>
  <LinksUpToDate>false</LinksUpToDate>
  <CharactersWithSpaces>16179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2021-02-04T01:47:00Z</dcterms:created>
  <dc:creator>zhaoxinlei</dc:creator>
  <cp:lastModifiedBy>应艳萱</cp:lastModifiedBy>
  <dcterms:modified xsi:type="dcterms:W3CDTF">2021-04-20T10:35:05Z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1302C1CAA7C3458A8086AB78AE38D19F</vt:lpwstr>
  </property>
</Properties>
</file>