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bookmarkStart w:id="0" w:name="_Toc358450011"/>
      <w:r>
        <w:rPr>
          <w:rFonts w:hint="eastAsia" w:asciiTheme="majorEastAsia" w:hAnsiTheme="majorEastAsia" w:eastAsiaTheme="majorEastAsia"/>
          <w:b/>
          <w:sz w:val="28"/>
          <w:szCs w:val="28"/>
        </w:rPr>
        <w:t>华农财产保险股份有限公司</w:t>
      </w:r>
    </w:p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学生、幼儿意外伤害保险费率</w:t>
      </w:r>
      <w:bookmarkEnd w:id="0"/>
      <w:r>
        <w:rPr>
          <w:rFonts w:hint="eastAsia" w:asciiTheme="majorEastAsia" w:hAnsiTheme="majorEastAsia" w:eastAsiaTheme="majorEastAsia"/>
          <w:b/>
          <w:sz w:val="28"/>
          <w:szCs w:val="28"/>
        </w:rPr>
        <w:t>表（互联网专属）</w:t>
      </w:r>
    </w:p>
    <w:p>
      <w:pPr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szCs w:val="21"/>
        </w:rPr>
      </w:pPr>
      <w:r>
        <w:rPr>
          <w:rFonts w:hint="eastAsia"/>
          <w:b/>
          <w:bCs/>
          <w:szCs w:val="21"/>
        </w:rPr>
        <w:t>一、</w:t>
      </w:r>
      <w:r>
        <w:rPr>
          <w:rFonts w:hint="eastAsia"/>
          <w:b/>
          <w:bCs/>
          <w:szCs w:val="21"/>
        </w:rPr>
        <w:t>年基准费率</w:t>
      </w:r>
      <w:bookmarkStart w:id="1" w:name="_GoBack"/>
      <w:bookmarkEnd w:id="1"/>
    </w:p>
    <w:p>
      <w:pPr>
        <w:snapToGrid w:val="0"/>
        <w:spacing w:line="460" w:lineRule="exact"/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0.</w:t>
      </w:r>
      <w:r>
        <w:rPr>
          <w:rFonts w:hint="eastAsia" w:ascii="宋体" w:hAnsi="宋体"/>
          <w:szCs w:val="21"/>
          <w:lang w:val="en-US" w:eastAsia="zh-CN"/>
        </w:rPr>
        <w:t>03</w:t>
      </w:r>
      <w:r>
        <w:rPr>
          <w:rFonts w:hint="eastAsia" w:ascii="宋体" w:hAnsi="宋体"/>
          <w:szCs w:val="21"/>
        </w:rPr>
        <w:t>%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</w:t>
      </w:r>
      <w:r>
        <w:rPr>
          <w:rFonts w:hint="eastAsia"/>
          <w:b/>
          <w:bCs/>
          <w:szCs w:val="21"/>
        </w:rPr>
        <w:t>调</w:t>
      </w:r>
      <w:r>
        <w:rPr>
          <w:rFonts w:hint="eastAsia" w:ascii="宋体" w:hAnsi="宋体"/>
          <w:b/>
          <w:bCs/>
          <w:szCs w:val="21"/>
        </w:rPr>
        <w:t>整系数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1、学校</w:t>
      </w:r>
      <w:r>
        <w:rPr>
          <w:rFonts w:hint="eastAsia" w:ascii="宋体" w:hAnsi="宋体"/>
          <w:b/>
          <w:bCs/>
          <w:szCs w:val="21"/>
        </w:rPr>
        <w:t>类型调整系数</w:t>
      </w:r>
    </w:p>
    <w:tbl>
      <w:tblPr>
        <w:tblStyle w:val="14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239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学校类型</w:t>
            </w:r>
          </w:p>
        </w:tc>
        <w:tc>
          <w:tcPr>
            <w:tcW w:w="166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9" w:hRule="atLeast"/>
        </w:trPr>
        <w:tc>
          <w:tcPr>
            <w:tcW w:w="239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初中、高中、职业高中</w:t>
            </w:r>
          </w:p>
        </w:tc>
        <w:tc>
          <w:tcPr>
            <w:tcW w:w="166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[0.5,0.9)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239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小学、幼儿园</w:t>
            </w:r>
          </w:p>
        </w:tc>
        <w:tc>
          <w:tcPr>
            <w:tcW w:w="166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[0.9,1.2)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9" w:hRule="atLeast"/>
        </w:trPr>
        <w:tc>
          <w:tcPr>
            <w:tcW w:w="239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大学、大专、中专</w:t>
            </w:r>
          </w:p>
        </w:tc>
        <w:tc>
          <w:tcPr>
            <w:tcW w:w="166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[1.2,1.5)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2" w:hRule="atLeast"/>
        </w:trPr>
        <w:tc>
          <w:tcPr>
            <w:tcW w:w="239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体育院校、艺术院校等其它学校</w:t>
            </w:r>
          </w:p>
        </w:tc>
        <w:tc>
          <w:tcPr>
            <w:tcW w:w="1665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[1.5,2.0]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2、</w:t>
      </w:r>
      <w:r>
        <w:rPr>
          <w:rFonts w:hint="eastAsia" w:ascii="宋体" w:hAnsi="宋体"/>
          <w:b/>
          <w:bCs/>
          <w:szCs w:val="21"/>
        </w:rPr>
        <w:t>预期</w:t>
      </w:r>
      <w:r>
        <w:rPr>
          <w:rFonts w:ascii="宋体" w:hAnsi="宋体"/>
          <w:b/>
          <w:bCs/>
          <w:szCs w:val="21"/>
        </w:rPr>
        <w:t>/历史赔付率调整系数</w:t>
      </w:r>
    </w:p>
    <w:tbl>
      <w:tblPr>
        <w:tblStyle w:val="14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9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预期/历史赔付率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20%以下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[0.7,0.8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20%(含）-30%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[0.8,0.85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30%(含）-50%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[0.85,1.0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50%(含）-70%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[1.0,1.2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6" w:hRule="atLeast"/>
        </w:trPr>
        <w:tc>
          <w:tcPr>
            <w:tcW w:w="2287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70%及以上</w:t>
            </w:r>
          </w:p>
        </w:tc>
        <w:tc>
          <w:tcPr>
            <w:tcW w:w="1792" w:type="dxa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[1.2,1.3</w:t>
            </w:r>
            <w:r>
              <w:rPr>
                <w:rFonts w:ascii="宋体" w:hAnsi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3、</w:t>
      </w:r>
      <w:r>
        <w:rPr>
          <w:rFonts w:hint="eastAsia" w:ascii="宋体" w:hAnsi="宋体"/>
          <w:b/>
          <w:bCs/>
          <w:szCs w:val="21"/>
          <w:lang w:val="en-US" w:eastAsia="zh-CN"/>
        </w:rPr>
        <w:t>预期</w:t>
      </w:r>
      <w:r>
        <w:rPr>
          <w:rFonts w:hint="eastAsia" w:ascii="宋体" w:hAnsi="宋体"/>
          <w:b/>
          <w:bCs/>
          <w:szCs w:val="21"/>
        </w:rPr>
        <w:t>人数规模调整系数</w:t>
      </w:r>
    </w:p>
    <w:tbl>
      <w:tblPr>
        <w:tblStyle w:val="14"/>
        <w:tblW w:w="0" w:type="auto"/>
        <w:tblInd w:w="1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7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预期</w:t>
            </w:r>
            <w:r>
              <w:rPr>
                <w:rFonts w:hint="eastAsia" w:ascii="宋体" w:hAnsi="宋体"/>
                <w:szCs w:val="21"/>
              </w:rPr>
              <w:t>参保人数（人）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（0,500]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[0.9,1.0</w:t>
            </w:r>
            <w:r>
              <w:rPr>
                <w:rFonts w:ascii="宋体" w:hAnsi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(500,1000]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[0.8,0.9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(1000,5000]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[0.7,0.8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6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(5000,10000]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[0.6,0.7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2299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10000以上</w:t>
            </w:r>
          </w:p>
        </w:tc>
        <w:tc>
          <w:tcPr>
            <w:tcW w:w="1700" w:type="dxa"/>
            <w:vAlign w:val="center"/>
          </w:tcPr>
          <w:p>
            <w:pPr>
              <w:numPr>
                <w:ilvl w:val="255"/>
                <w:numId w:val="0"/>
              </w:numPr>
              <w:spacing w:after="156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0.5,</w:t>
            </w:r>
            <w:r>
              <w:rPr>
                <w:rFonts w:hint="eastAsia" w:ascii="宋体" w:hAnsi="宋体"/>
                <w:szCs w:val="21"/>
              </w:rPr>
              <w:t>0.6）</w:t>
            </w:r>
          </w:p>
        </w:tc>
      </w:tr>
    </w:tbl>
    <w:p>
      <w:pPr>
        <w:pStyle w:val="33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4、多个险种投保数量调整系数</w:t>
      </w:r>
    </w:p>
    <w:tbl>
      <w:tblPr>
        <w:tblStyle w:val="14"/>
        <w:tblW w:w="0" w:type="auto"/>
        <w:tblInd w:w="17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20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6" w:hRule="atLeast"/>
        </w:trPr>
        <w:tc>
          <w:tcPr>
            <w:tcW w:w="2299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多险种投保数量（个）</w:t>
            </w:r>
          </w:p>
        </w:tc>
        <w:tc>
          <w:tcPr>
            <w:tcW w:w="2008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调整系数</w:t>
            </w:r>
          </w:p>
        </w:tc>
      </w:tr>
      <w:tr>
        <w:trPr>
          <w:trHeight w:val="336" w:hRule="atLeast"/>
        </w:trPr>
        <w:tc>
          <w:tcPr>
            <w:tcW w:w="2299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（1,2]</w:t>
            </w:r>
          </w:p>
        </w:tc>
        <w:tc>
          <w:tcPr>
            <w:tcW w:w="2008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 w:cs="宋体"/>
                <w:color w:val="000000"/>
                <w:szCs w:val="21"/>
              </w:rPr>
              <w:t>0.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  <w:r>
              <w:rPr>
                <w:rFonts w:ascii="宋体" w:hAnsi="宋体" w:cs="宋体"/>
                <w:color w:val="000000"/>
                <w:szCs w:val="21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szCs w:val="21"/>
              </w:rPr>
              <w:t>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  <w:r>
              <w:rPr>
                <w:rFonts w:ascii="宋体" w:hAnsi="宋体" w:cs="宋体"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6" w:hRule="atLeast"/>
        </w:trPr>
        <w:tc>
          <w:tcPr>
            <w:tcW w:w="2299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（2,5]</w:t>
            </w:r>
          </w:p>
        </w:tc>
        <w:tc>
          <w:tcPr>
            <w:tcW w:w="2008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ascii="宋体" w:hAnsi="宋体" w:cs="宋体"/>
                <w:color w:val="000000"/>
                <w:szCs w:val="21"/>
              </w:rPr>
              <w:t>0.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8</w:t>
            </w:r>
            <w:r>
              <w:rPr>
                <w:rFonts w:ascii="宋体" w:hAnsi="宋体" w:cs="宋体"/>
                <w:color w:val="000000"/>
                <w:szCs w:val="21"/>
              </w:rPr>
              <w:t>,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0.9)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6" w:hRule="atLeast"/>
        </w:trPr>
        <w:tc>
          <w:tcPr>
            <w:tcW w:w="2299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（5,8]</w:t>
            </w:r>
          </w:p>
        </w:tc>
        <w:tc>
          <w:tcPr>
            <w:tcW w:w="2008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0.7,0.8)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 w:hRule="atLeast"/>
        </w:trPr>
        <w:tc>
          <w:tcPr>
            <w:tcW w:w="2299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8个以上</w:t>
            </w:r>
          </w:p>
        </w:tc>
        <w:tc>
          <w:tcPr>
            <w:tcW w:w="2008" w:type="dxa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[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0.5,0.7)</w:t>
            </w:r>
          </w:p>
        </w:tc>
      </w:tr>
    </w:tbl>
    <w:p>
      <w:pPr>
        <w:pStyle w:val="33"/>
        <w:rPr>
          <w:rFonts w:ascii="宋体" w:hAnsi="宋体" w:cs="宋体"/>
          <w:b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5、</w:t>
      </w:r>
      <w:r>
        <w:rPr>
          <w:rFonts w:hint="eastAsia" w:ascii="宋体" w:hAnsi="宋体"/>
          <w:b/>
          <w:bCs/>
          <w:szCs w:val="21"/>
        </w:rPr>
        <w:t>地区</w:t>
      </w:r>
      <w:r>
        <w:rPr>
          <w:rFonts w:hint="eastAsia" w:ascii="宋体" w:hAnsi="宋体" w:cs="宋体"/>
          <w:b/>
          <w:color w:val="000000"/>
          <w:szCs w:val="21"/>
        </w:rPr>
        <w:t>风险差异调整系数</w:t>
      </w:r>
    </w:p>
    <w:tbl>
      <w:tblPr>
        <w:tblStyle w:val="1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6"/>
        <w:gridCol w:w="21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9" w:hRule="atLeast"/>
        </w:trPr>
        <w:tc>
          <w:tcPr>
            <w:tcW w:w="5686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地区风险</w:t>
            </w:r>
          </w:p>
        </w:tc>
        <w:tc>
          <w:tcPr>
            <w:tcW w:w="2113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调整系数</w:t>
            </w:r>
          </w:p>
        </w:tc>
      </w:tr>
      <w:tr>
        <w:trPr>
          <w:trHeight w:val="727" w:hRule="atLeast"/>
        </w:trPr>
        <w:tc>
          <w:tcPr>
            <w:tcW w:w="5686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所在地区社会环境较好，人身意外伤害风险较低</w:t>
            </w:r>
          </w:p>
        </w:tc>
        <w:tc>
          <w:tcPr>
            <w:tcW w:w="2113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[0.7,0.9]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7" w:hRule="atLeast"/>
        </w:trPr>
        <w:tc>
          <w:tcPr>
            <w:tcW w:w="5686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所在地区社会环境一般，人身意外伤害风险一般</w:t>
            </w:r>
          </w:p>
        </w:tc>
        <w:tc>
          <w:tcPr>
            <w:tcW w:w="2113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(0.9,1.0]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8" w:hRule="atLeast"/>
        </w:trPr>
        <w:tc>
          <w:tcPr>
            <w:tcW w:w="5686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所在地区社会环境较差，人身意外伤害风险较高</w:t>
            </w:r>
          </w:p>
        </w:tc>
        <w:tc>
          <w:tcPr>
            <w:tcW w:w="2113" w:type="dxa"/>
            <w:vAlign w:val="center"/>
          </w:tcPr>
          <w:p>
            <w:pPr>
              <w:pStyle w:val="3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(1.0,1.2]</w:t>
            </w:r>
          </w:p>
        </w:tc>
      </w:tr>
    </w:tbl>
    <w:p>
      <w:pPr>
        <w:pStyle w:val="33"/>
        <w:rPr>
          <w:rFonts w:ascii="宋体" w:hAnsi="宋体" w:cs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三、保险费计算</w:t>
      </w:r>
    </w:p>
    <w:p>
      <w:pPr>
        <w:numPr>
          <w:ilvl w:val="-1"/>
          <w:numId w:val="0"/>
        </w:numPr>
        <w:spacing w:after="0" w:afterLines="0"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年</w:t>
      </w:r>
      <w:r>
        <w:rPr>
          <w:rFonts w:hint="eastAsia" w:ascii="宋体" w:hAnsi="宋体"/>
          <w:szCs w:val="21"/>
        </w:rPr>
        <w:t>保险费=保险金额×年基准费率×各项调整系数之积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20" w:firstLineChars="200"/>
        <w:textAlignment w:val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四、短期费率表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447"/>
        <w:gridCol w:w="470"/>
        <w:gridCol w:w="540"/>
        <w:gridCol w:w="540"/>
        <w:gridCol w:w="540"/>
        <w:gridCol w:w="540"/>
        <w:gridCol w:w="540"/>
        <w:gridCol w:w="540"/>
        <w:gridCol w:w="541"/>
        <w:gridCol w:w="541"/>
        <w:gridCol w:w="642"/>
        <w:gridCol w:w="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exact"/>
        </w:trPr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保险期间（个月）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60" w:hRule="exact"/>
        </w:trPr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年费率的百分比（%）</w:t>
            </w:r>
          </w:p>
        </w:tc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80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85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90</w:t>
            </w:r>
          </w:p>
        </w:tc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95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</w:tr>
    </w:tbl>
    <w:p>
      <w:pPr>
        <w:numPr>
          <w:ilvl w:val="0"/>
          <w:numId w:val="0"/>
        </w:numPr>
        <w:spacing w:afterLines="0" w:line="360" w:lineRule="auto"/>
        <w:ind w:firstLine="420" w:firstLineChars="200"/>
      </w:pPr>
      <w:r>
        <w:rPr>
          <w:rFonts w:hint="eastAsia" w:ascii="宋体" w:hAnsi="宋体"/>
          <w:color w:val="000000"/>
          <w:szCs w:val="21"/>
        </w:rPr>
        <w:t>注：保险期间不足1个月的，按1个月计算；保险期间在1个月以上，不足2个月的，按2个月计算；保险期间在2个月以上，不足3个月的，按3个月计算，依此类推。</w:t>
      </w:r>
    </w:p>
    <w:p>
      <w:pPr>
        <w:spacing w:after="156" w:afterLines="50"/>
        <w:ind w:firstLine="420" w:firstLineChars="200"/>
        <w:rPr>
          <w:rFonts w:ascii="宋体" w:hAnsi="宋体"/>
          <w:szCs w:val="21"/>
        </w:rPr>
      </w:pPr>
    </w:p>
    <w:p>
      <w:pPr>
        <w:numPr>
          <w:ilvl w:val="255"/>
          <w:numId w:val="0"/>
        </w:numPr>
        <w:snapToGrid w:val="0"/>
        <w:spacing w:line="460" w:lineRule="exact"/>
        <w:ind w:left="630" w:firstLine="0" w:firstLineChars="0"/>
        <w:rPr>
          <w:rFonts w:ascii="宋体" w:hAnsi="宋体"/>
          <w:szCs w:val="21"/>
        </w:rPr>
      </w:pPr>
    </w:p>
    <w:p/>
    <w:p>
      <w:pPr>
        <w:widowControl/>
        <w:autoSpaceDE w:val="0"/>
        <w:autoSpaceDN w:val="0"/>
        <w:adjustRightInd w:val="0"/>
        <w:spacing w:line="440" w:lineRule="exact"/>
        <w:ind w:firstLine="420" w:firstLineChars="200"/>
        <w:jc w:val="left"/>
        <w:textAlignment w:val="bottom"/>
        <w:rPr>
          <w:rFonts w:ascii="宋体" w:hAnsi="宋体"/>
          <w:kern w:val="0"/>
          <w:szCs w:val="21"/>
        </w:rPr>
      </w:pPr>
    </w:p>
    <w:p>
      <w:pPr>
        <w:jc w:val="center"/>
        <w:rPr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Verdan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NjZGVkODY3YzEyOWNmMjYzZTc4M2QzNmQwMzYzMDEifQ=="/>
  </w:docVars>
  <w:rsids>
    <w:rsidRoot w:val="009C24A0"/>
    <w:rsid w:val="00023897"/>
    <w:rsid w:val="000278E9"/>
    <w:rsid w:val="000372E8"/>
    <w:rsid w:val="00047749"/>
    <w:rsid w:val="00075410"/>
    <w:rsid w:val="00087B27"/>
    <w:rsid w:val="000B3239"/>
    <w:rsid w:val="000B5673"/>
    <w:rsid w:val="000C7B49"/>
    <w:rsid w:val="000E779A"/>
    <w:rsid w:val="00115AE4"/>
    <w:rsid w:val="00136715"/>
    <w:rsid w:val="001579E4"/>
    <w:rsid w:val="00171E82"/>
    <w:rsid w:val="0019081F"/>
    <w:rsid w:val="00192AA7"/>
    <w:rsid w:val="001B777F"/>
    <w:rsid w:val="001C5744"/>
    <w:rsid w:val="001E4196"/>
    <w:rsid w:val="0020057C"/>
    <w:rsid w:val="002072F5"/>
    <w:rsid w:val="0021496B"/>
    <w:rsid w:val="00231018"/>
    <w:rsid w:val="0027041F"/>
    <w:rsid w:val="002873A4"/>
    <w:rsid w:val="002A3F8A"/>
    <w:rsid w:val="002B4665"/>
    <w:rsid w:val="002D3CAB"/>
    <w:rsid w:val="002F596F"/>
    <w:rsid w:val="003357F3"/>
    <w:rsid w:val="003461CA"/>
    <w:rsid w:val="00347CC9"/>
    <w:rsid w:val="00365E65"/>
    <w:rsid w:val="003A7D9C"/>
    <w:rsid w:val="003B6F63"/>
    <w:rsid w:val="003B7A71"/>
    <w:rsid w:val="00412B2B"/>
    <w:rsid w:val="00431214"/>
    <w:rsid w:val="004315EC"/>
    <w:rsid w:val="004401BD"/>
    <w:rsid w:val="00477805"/>
    <w:rsid w:val="004801A4"/>
    <w:rsid w:val="004945E5"/>
    <w:rsid w:val="004A0B7D"/>
    <w:rsid w:val="004B2733"/>
    <w:rsid w:val="004B37A8"/>
    <w:rsid w:val="004C57AB"/>
    <w:rsid w:val="004C7CD4"/>
    <w:rsid w:val="004E312C"/>
    <w:rsid w:val="00503035"/>
    <w:rsid w:val="00505500"/>
    <w:rsid w:val="00534AFF"/>
    <w:rsid w:val="00536A0D"/>
    <w:rsid w:val="00562A07"/>
    <w:rsid w:val="00572870"/>
    <w:rsid w:val="005774B0"/>
    <w:rsid w:val="005843FB"/>
    <w:rsid w:val="005C1D86"/>
    <w:rsid w:val="005C22D7"/>
    <w:rsid w:val="005C67B5"/>
    <w:rsid w:val="005E7B17"/>
    <w:rsid w:val="006774B6"/>
    <w:rsid w:val="00685088"/>
    <w:rsid w:val="00697246"/>
    <w:rsid w:val="006A68E4"/>
    <w:rsid w:val="006C4534"/>
    <w:rsid w:val="00717E49"/>
    <w:rsid w:val="0073531C"/>
    <w:rsid w:val="00742816"/>
    <w:rsid w:val="0074365D"/>
    <w:rsid w:val="007639E2"/>
    <w:rsid w:val="00787449"/>
    <w:rsid w:val="008372AA"/>
    <w:rsid w:val="008872C7"/>
    <w:rsid w:val="008B7B64"/>
    <w:rsid w:val="008C3A1A"/>
    <w:rsid w:val="008C3F99"/>
    <w:rsid w:val="008F465E"/>
    <w:rsid w:val="008F4E1C"/>
    <w:rsid w:val="008F6116"/>
    <w:rsid w:val="0091657E"/>
    <w:rsid w:val="0092399C"/>
    <w:rsid w:val="00930A99"/>
    <w:rsid w:val="00961110"/>
    <w:rsid w:val="00987BE9"/>
    <w:rsid w:val="00990FAA"/>
    <w:rsid w:val="0099648F"/>
    <w:rsid w:val="009C24A0"/>
    <w:rsid w:val="009F6685"/>
    <w:rsid w:val="00A17AAF"/>
    <w:rsid w:val="00A45FBF"/>
    <w:rsid w:val="00A926EA"/>
    <w:rsid w:val="00AA0282"/>
    <w:rsid w:val="00AB141C"/>
    <w:rsid w:val="00AC7D42"/>
    <w:rsid w:val="00AE29EB"/>
    <w:rsid w:val="00B3078F"/>
    <w:rsid w:val="00B42074"/>
    <w:rsid w:val="00B559AF"/>
    <w:rsid w:val="00B640FF"/>
    <w:rsid w:val="00B80954"/>
    <w:rsid w:val="00B86050"/>
    <w:rsid w:val="00B91188"/>
    <w:rsid w:val="00B959D7"/>
    <w:rsid w:val="00BA4BE1"/>
    <w:rsid w:val="00BA708E"/>
    <w:rsid w:val="00BD5F6F"/>
    <w:rsid w:val="00BE5432"/>
    <w:rsid w:val="00BF5383"/>
    <w:rsid w:val="00C01985"/>
    <w:rsid w:val="00C04E1B"/>
    <w:rsid w:val="00C26BC0"/>
    <w:rsid w:val="00C50F61"/>
    <w:rsid w:val="00CC4282"/>
    <w:rsid w:val="00D043C9"/>
    <w:rsid w:val="00D26EF0"/>
    <w:rsid w:val="00D27833"/>
    <w:rsid w:val="00D52E05"/>
    <w:rsid w:val="00D90C6E"/>
    <w:rsid w:val="00DA3C82"/>
    <w:rsid w:val="00DA656D"/>
    <w:rsid w:val="00DB53FE"/>
    <w:rsid w:val="00DD5A24"/>
    <w:rsid w:val="00E76421"/>
    <w:rsid w:val="00E85A4E"/>
    <w:rsid w:val="00E873A8"/>
    <w:rsid w:val="00E961B2"/>
    <w:rsid w:val="00EF7C69"/>
    <w:rsid w:val="00F07187"/>
    <w:rsid w:val="00F424A4"/>
    <w:rsid w:val="00F5682B"/>
    <w:rsid w:val="00F57648"/>
    <w:rsid w:val="00F6469A"/>
    <w:rsid w:val="00FA1693"/>
    <w:rsid w:val="00FA26DE"/>
    <w:rsid w:val="00FD2A7C"/>
    <w:rsid w:val="016A521A"/>
    <w:rsid w:val="023D3EBB"/>
    <w:rsid w:val="1E981218"/>
    <w:rsid w:val="200E71FB"/>
    <w:rsid w:val="205635CE"/>
    <w:rsid w:val="302A3FEF"/>
    <w:rsid w:val="355F44DB"/>
    <w:rsid w:val="474400E0"/>
    <w:rsid w:val="4E015C82"/>
    <w:rsid w:val="56B7322B"/>
    <w:rsid w:val="5B1F4291"/>
    <w:rsid w:val="7A172352"/>
    <w:rsid w:val="7FABB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63"/>
    <w:semiHidden/>
    <w:unhideWhenUsed/>
    <w:qFormat/>
    <w:uiPriority w:val="99"/>
    <w:rPr>
      <w:rFonts w:ascii="宋体"/>
      <w:kern w:val="0"/>
      <w:sz w:val="18"/>
      <w:szCs w:val="18"/>
    </w:rPr>
  </w:style>
  <w:style w:type="paragraph" w:styleId="6">
    <w:name w:val="annotation text"/>
    <w:basedOn w:val="1"/>
    <w:link w:val="64"/>
    <w:semiHidden/>
    <w:unhideWhenUsed/>
    <w:qFormat/>
    <w:uiPriority w:val="99"/>
    <w:pPr>
      <w:jc w:val="left"/>
    </w:pPr>
    <w:rPr>
      <w:kern w:val="0"/>
      <w:sz w:val="20"/>
      <w:szCs w:val="20"/>
    </w:rPr>
  </w:style>
  <w:style w:type="paragraph" w:styleId="7">
    <w:name w:val="toc 3"/>
    <w:basedOn w:val="1"/>
    <w:next w:val="1"/>
    <w:unhideWhenUsed/>
    <w:qFormat/>
    <w:uiPriority w:val="39"/>
    <w:pPr>
      <w:widowControl/>
      <w:tabs>
        <w:tab w:val="left" w:pos="1418"/>
        <w:tab w:val="right" w:leader="dot" w:pos="8296"/>
      </w:tabs>
      <w:ind w:left="848" w:leftChars="303" w:firstLine="3" w:firstLineChars="1"/>
      <w:jc w:val="left"/>
    </w:pPr>
    <w:rPr>
      <w:rFonts w:ascii="宋体" w:hAnsi="宋体" w:cs="宋体"/>
      <w:kern w:val="0"/>
      <w:sz w:val="28"/>
      <w:szCs w:val="24"/>
    </w:rPr>
  </w:style>
  <w:style w:type="paragraph" w:styleId="8">
    <w:name w:val="Balloon Text"/>
    <w:basedOn w:val="1"/>
    <w:link w:val="25"/>
    <w:semiHidden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jc w:val="left"/>
    </w:pPr>
    <w:rPr>
      <w:rFonts w:ascii="宋体" w:hAnsi="宋体" w:cs="宋体"/>
      <w:kern w:val="0"/>
      <w:sz w:val="28"/>
      <w:szCs w:val="24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left" w:pos="851"/>
        <w:tab w:val="right" w:leader="dot" w:pos="8296"/>
      </w:tabs>
      <w:ind w:left="560" w:leftChars="200"/>
      <w:jc w:val="left"/>
    </w:pPr>
    <w:rPr>
      <w:rFonts w:ascii="宋体" w:hAnsi="宋体" w:cs="宋体"/>
      <w:kern w:val="0"/>
      <w:sz w:val="28"/>
      <w:szCs w:val="24"/>
    </w:rPr>
  </w:style>
  <w:style w:type="paragraph" w:styleId="13">
    <w:name w:val="annotation subject"/>
    <w:basedOn w:val="6"/>
    <w:next w:val="6"/>
    <w:link w:val="65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semiHidden/>
    <w:unhideWhenUsed/>
    <w:qFormat/>
    <w:uiPriority w:val="99"/>
    <w:rPr>
      <w:color w:val="800080"/>
      <w:u w:val="single"/>
    </w:rPr>
  </w:style>
  <w:style w:type="character" w:styleId="18">
    <w:name w:val="Hyperlink"/>
    <w:unhideWhenUsed/>
    <w:qFormat/>
    <w:uiPriority w:val="99"/>
    <w:rPr>
      <w:color w:val="0000FF"/>
      <w:u w:val="single"/>
    </w:rPr>
  </w:style>
  <w:style w:type="character" w:styleId="1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0">
    <w:name w:val="页眉 字符"/>
    <w:link w:val="10"/>
    <w:qFormat/>
    <w:uiPriority w:val="99"/>
    <w:rPr>
      <w:sz w:val="18"/>
      <w:szCs w:val="18"/>
    </w:rPr>
  </w:style>
  <w:style w:type="character" w:customStyle="1" w:styleId="21">
    <w:name w:val="页脚 字符"/>
    <w:link w:val="9"/>
    <w:qFormat/>
    <w:uiPriority w:val="99"/>
    <w:rPr>
      <w:sz w:val="18"/>
      <w:szCs w:val="18"/>
    </w:rPr>
  </w:style>
  <w:style w:type="character" w:customStyle="1" w:styleId="22">
    <w:name w:val="标题 1 字符"/>
    <w:link w:val="2"/>
    <w:qFormat/>
    <w:uiPriority w:val="9"/>
    <w:rPr>
      <w:rFonts w:ascii="Calibri" w:hAnsi="Calibri" w:eastAsia="宋体" w:cs="Times New Roman"/>
      <w:b/>
      <w:bCs/>
      <w:kern w:val="44"/>
      <w:sz w:val="32"/>
      <w:szCs w:val="44"/>
    </w:rPr>
  </w:style>
  <w:style w:type="paragraph" w:customStyle="1" w:styleId="23">
    <w:name w:val="条款正文"/>
    <w:basedOn w:val="1"/>
    <w:qFormat/>
    <w:uiPriority w:val="0"/>
    <w:pPr>
      <w:adjustRightInd w:val="0"/>
      <w:snapToGrid w:val="0"/>
      <w:ind w:left="840" w:leftChars="400" w:firstLine="420" w:firstLineChars="200"/>
    </w:pPr>
    <w:rPr>
      <w:rFonts w:ascii="Times New Roman" w:hAnsi="Times New Roman"/>
      <w:szCs w:val="24"/>
    </w:rPr>
  </w:style>
  <w:style w:type="paragraph" w:customStyle="1" w:styleId="24">
    <w:name w:val="条款标题"/>
    <w:basedOn w:val="23"/>
    <w:qFormat/>
    <w:uiPriority w:val="0"/>
    <w:pPr>
      <w:tabs>
        <w:tab w:val="left" w:pos="840"/>
      </w:tabs>
      <w:ind w:left="0" w:leftChars="0" w:firstLine="0" w:firstLineChars="0"/>
    </w:pPr>
    <w:rPr>
      <w:b/>
    </w:rPr>
  </w:style>
  <w:style w:type="character" w:customStyle="1" w:styleId="25">
    <w:name w:val="批注框文本 字符"/>
    <w:link w:val="8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7">
    <w:name w:val="标题 3 字符"/>
    <w:link w:val="4"/>
    <w:qFormat/>
    <w:uiPriority w:val="9"/>
    <w:rPr>
      <w:rFonts w:ascii="Calibri" w:hAnsi="Calibri" w:eastAsia="宋体" w:cs="Times New Roman"/>
      <w:b/>
      <w:bCs/>
      <w:sz w:val="32"/>
      <w:szCs w:val="32"/>
    </w:rPr>
  </w:style>
  <w:style w:type="paragraph" w:styleId="28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8"/>
      <w:szCs w:val="24"/>
    </w:rPr>
  </w:style>
  <w:style w:type="paragraph" w:customStyle="1" w:styleId="29">
    <w:name w:val="注解（小四，楷体）"/>
    <w:basedOn w:val="1"/>
    <w:link w:val="31"/>
    <w:qFormat/>
    <w:uiPriority w:val="0"/>
    <w:pPr>
      <w:widowControl/>
      <w:contextualSpacing/>
      <w:jc w:val="left"/>
    </w:pPr>
    <w:rPr>
      <w:rFonts w:ascii="楷体" w:hAnsi="楷体" w:eastAsia="楷体"/>
      <w:kern w:val="0"/>
      <w:sz w:val="24"/>
      <w:szCs w:val="24"/>
    </w:rPr>
  </w:style>
  <w:style w:type="paragraph" w:customStyle="1" w:styleId="30">
    <w:name w:val="表格（小四，宋体）"/>
    <w:basedOn w:val="1"/>
    <w:link w:val="32"/>
    <w:qFormat/>
    <w:uiPriority w:val="0"/>
    <w:pPr>
      <w:widowControl/>
      <w:contextualSpacing/>
      <w:jc w:val="left"/>
    </w:pPr>
    <w:rPr>
      <w:rFonts w:ascii="宋体" w:hAnsi="宋体"/>
      <w:kern w:val="0"/>
      <w:sz w:val="24"/>
      <w:szCs w:val="24"/>
    </w:rPr>
  </w:style>
  <w:style w:type="character" w:customStyle="1" w:styleId="31">
    <w:name w:val="注解（小四，楷体） Char"/>
    <w:link w:val="29"/>
    <w:qFormat/>
    <w:uiPriority w:val="0"/>
    <w:rPr>
      <w:rFonts w:ascii="楷体" w:hAnsi="楷体" w:eastAsia="楷体" w:cs="Times New Roman"/>
      <w:kern w:val="0"/>
      <w:sz w:val="24"/>
      <w:szCs w:val="24"/>
    </w:rPr>
  </w:style>
  <w:style w:type="character" w:customStyle="1" w:styleId="32">
    <w:name w:val="表格（小四，宋体） Char"/>
    <w:link w:val="30"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paragraph" w:styleId="33">
    <w:name w:val="No Spacing"/>
    <w:link w:val="3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34">
    <w:name w:val="无间隔 字符"/>
    <w:link w:val="33"/>
    <w:qFormat/>
    <w:uiPriority w:val="1"/>
    <w:rPr>
      <w:sz w:val="22"/>
      <w:szCs w:val="22"/>
      <w:lang w:bidi="ar-SA"/>
    </w:rPr>
  </w:style>
  <w:style w:type="paragraph" w:customStyle="1" w:styleId="35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6">
    <w:name w:val="_Style 30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38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4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4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7">
    <w:name w:val="xl7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2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8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E8C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88"/>
    <w:basedOn w:val="1"/>
    <w:qFormat/>
    <w:uiPriority w:val="0"/>
    <w:pPr>
      <w:widowControl/>
      <w:shd w:val="clear" w:color="000000" w:fill="CCE8C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1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62">
    <w:name w:val="Char1 Char Char Char"/>
    <w:next w:val="8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3">
    <w:name w:val="文档结构图 字符"/>
    <w:link w:val="5"/>
    <w:semiHidden/>
    <w:qFormat/>
    <w:uiPriority w:val="99"/>
    <w:rPr>
      <w:rFonts w:ascii="宋体" w:hAnsi="Calibri" w:eastAsia="宋体" w:cs="Times New Roman"/>
      <w:sz w:val="18"/>
      <w:szCs w:val="18"/>
    </w:rPr>
  </w:style>
  <w:style w:type="character" w:customStyle="1" w:styleId="64">
    <w:name w:val="批注文字 字符"/>
    <w:link w:val="6"/>
    <w:semiHidden/>
    <w:qFormat/>
    <w:uiPriority w:val="99"/>
    <w:rPr>
      <w:rFonts w:ascii="Calibri" w:hAnsi="Calibri" w:eastAsia="宋体" w:cs="Times New Roman"/>
    </w:rPr>
  </w:style>
  <w:style w:type="character" w:customStyle="1" w:styleId="65">
    <w:name w:val="批注主题 字符"/>
    <w:link w:val="13"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6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479</Words>
  <Characters>738</Characters>
  <Lines>12</Lines>
  <Paragraphs>3</Paragraphs>
  <TotalTime>27</TotalTime>
  <ScaleCrop>false</ScaleCrop>
  <LinksUpToDate>false</LinksUpToDate>
  <CharactersWithSpaces>738</CharactersWithSpaces>
  <Application>WPS Office_4.2.2.6882_F1E327BC-269C-435d-A152-05C5408002CA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2017-09-22T16:01:00Z</dcterms:created>
  <dc:creator>Data</dc:creator>
  <cp:lastModifiedBy>Zixuan Shen</cp:lastModifiedBy>
  <dcterms:modified xsi:type="dcterms:W3CDTF">2022-07-07T15:09:07Z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2052-4.2.2.6882</vt:lpwstr>
  </property>
  <property fmtid="{D5CDD505-2E9C-101B-9397-08002B2CF9AE}" pid="3" name="ICV">
    <vt:lpwstr>2612DC4B628B4129B9D5A02CDA18C09C</vt:lpwstr>
  </property>
</Properties>
</file>