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firstLine="562"/>
        <w:jc w:val="center"/>
        <w:rPr>
          <w:rFonts w:hAnsi="宋体" w:cs="Arial"/>
          <w:b/>
          <w:kern w:val="2"/>
          <w:sz w:val="28"/>
          <w:szCs w:val="28"/>
        </w:rPr>
      </w:pPr>
      <w:bookmarkStart w:id="1" w:name="_GoBack"/>
      <w:bookmarkEnd w:id="1"/>
      <w:r>
        <w:rPr>
          <w:rFonts w:hint="eastAsia" w:hAnsi="宋体" w:cs="宋体"/>
          <w:b/>
          <w:kern w:val="2"/>
          <w:sz w:val="28"/>
          <w:szCs w:val="28"/>
        </w:rPr>
        <w:t>华农财产保险股份有限公司</w:t>
      </w:r>
    </w:p>
    <w:p>
      <w:pPr>
        <w:pStyle w:val="7"/>
        <w:adjustRightInd w:val="0"/>
        <w:snapToGrid w:val="0"/>
        <w:spacing w:after="156" w:afterLines="50" w:afterAutospacing="0"/>
        <w:ind w:firstLine="562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hint="eastAsia"/>
          <w:b/>
          <w:sz w:val="28"/>
          <w:szCs w:val="28"/>
        </w:rPr>
        <w:t>恶性肿瘤特定药品费用医疗保险</w:t>
      </w:r>
      <w:r>
        <w:rPr>
          <w:rFonts w:hint="eastAsia" w:cs="Arial"/>
          <w:b/>
          <w:kern w:val="2"/>
          <w:sz w:val="28"/>
          <w:szCs w:val="28"/>
        </w:rPr>
        <w:t>费率表（互联网专属）</w:t>
      </w:r>
    </w:p>
    <w:p>
      <w:pPr>
        <w:pStyle w:val="7"/>
        <w:adjustRightInd w:val="0"/>
        <w:snapToGrid w:val="0"/>
        <w:spacing w:after="156" w:afterLines="50" w:afterAutospacing="0"/>
        <w:ind w:firstLine="422"/>
        <w:jc w:val="center"/>
        <w:rPr>
          <w:rFonts w:cs="Arial"/>
          <w:b/>
          <w:color w:val="FF0000"/>
          <w:kern w:val="2"/>
          <w:sz w:val="21"/>
          <w:szCs w:val="21"/>
        </w:rPr>
      </w:pPr>
      <w:r>
        <w:rPr>
          <w:rFonts w:hint="eastAsia" w:cs="Arial"/>
          <w:b/>
          <w:color w:val="FF0000"/>
          <w:kern w:val="2"/>
          <w:sz w:val="21"/>
          <w:szCs w:val="21"/>
        </w:rPr>
        <w:t xml:space="preserve"> </w:t>
      </w:r>
    </w:p>
    <w:p>
      <w:pPr>
        <w:spacing w:line="360" w:lineRule="auto"/>
        <w:ind w:firstLine="422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一、基准赔付标准</w:t>
      </w:r>
    </w:p>
    <w:p>
      <w:pPr>
        <w:autoSpaceDE w:val="0"/>
        <w:spacing w:line="360" w:lineRule="auto"/>
        <w:ind w:firstLine="420" w:firstLineChars="200"/>
        <w:rPr>
          <w:rFonts w:hAnsi="宋体" w:cs="宋体"/>
          <w:bCs/>
          <w:kern w:val="2"/>
          <w:sz w:val="21"/>
          <w:szCs w:val="21"/>
          <w:lang w:bidi="ar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 w:bidi="ar"/>
        </w:rPr>
        <w:t>1、</w:t>
      </w:r>
      <w:r>
        <w:rPr>
          <w:rFonts w:hint="eastAsia" w:hAnsi="宋体" w:cs="宋体"/>
          <w:bCs/>
          <w:kern w:val="2"/>
          <w:sz w:val="21"/>
          <w:szCs w:val="21"/>
          <w:lang w:bidi="ar"/>
        </w:rPr>
        <w:t>保险金额：120万元</w:t>
      </w:r>
    </w:p>
    <w:p>
      <w:pPr>
        <w:autoSpaceDE w:val="0"/>
        <w:spacing w:line="360" w:lineRule="auto"/>
        <w:ind w:firstLine="420" w:firstLineChars="200"/>
        <w:rPr>
          <w:rFonts w:hAnsi="宋体" w:cs="宋体"/>
          <w:bCs/>
          <w:kern w:val="2"/>
          <w:sz w:val="21"/>
          <w:szCs w:val="21"/>
          <w:lang w:bidi="ar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 w:bidi="ar"/>
        </w:rPr>
        <w:t>2、</w:t>
      </w:r>
      <w:r>
        <w:rPr>
          <w:rFonts w:hint="eastAsia" w:hAnsi="宋体" w:cs="宋体"/>
          <w:bCs/>
          <w:kern w:val="2"/>
          <w:sz w:val="21"/>
          <w:szCs w:val="21"/>
          <w:lang w:bidi="ar"/>
        </w:rPr>
        <w:t>免赔额：0元</w:t>
      </w:r>
    </w:p>
    <w:p>
      <w:pPr>
        <w:autoSpaceDE w:val="0"/>
        <w:spacing w:line="360" w:lineRule="auto"/>
        <w:ind w:firstLine="420" w:firstLineChars="200"/>
        <w:rPr>
          <w:rFonts w:hAnsi="宋体" w:cs="宋体"/>
          <w:bCs/>
          <w:kern w:val="2"/>
          <w:sz w:val="21"/>
          <w:szCs w:val="21"/>
        </w:rPr>
      </w:pPr>
      <w:r>
        <w:rPr>
          <w:rFonts w:hint="eastAsia" w:hAnsi="宋体" w:cs="宋体"/>
          <w:bCs/>
          <w:kern w:val="2"/>
          <w:sz w:val="21"/>
          <w:szCs w:val="21"/>
          <w:lang w:val="en-US" w:eastAsia="zh-CN" w:bidi="ar"/>
        </w:rPr>
        <w:t>3、</w:t>
      </w:r>
      <w:r>
        <w:rPr>
          <w:rFonts w:hint="eastAsia" w:hAnsi="宋体" w:cs="宋体"/>
          <w:bCs/>
          <w:kern w:val="2"/>
          <w:sz w:val="21"/>
          <w:szCs w:val="21"/>
          <w:lang w:bidi="ar"/>
        </w:rPr>
        <w:t>等待期：30天</w:t>
      </w:r>
    </w:p>
    <w:p>
      <w:pPr>
        <w:autoSpaceDE w:val="0"/>
        <w:adjustRightInd w:val="0"/>
        <w:spacing w:line="360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4、</w:t>
      </w:r>
      <w:r>
        <w:rPr>
          <w:rFonts w:hint="eastAsia" w:hAnsi="宋体" w:cs="宋体"/>
          <w:kern w:val="2"/>
          <w:sz w:val="21"/>
          <w:szCs w:val="21"/>
          <w:lang w:bidi="ar"/>
        </w:rPr>
        <w:t>赔付比例：100%</w:t>
      </w:r>
    </w:p>
    <w:p>
      <w:pPr>
        <w:spacing w:line="360" w:lineRule="auto"/>
        <w:ind w:firstLine="422"/>
        <w:rPr>
          <w:rFonts w:hAnsi="宋体" w:cs="宋体"/>
          <w:b/>
          <w:kern w:val="2"/>
          <w:sz w:val="21"/>
          <w:szCs w:val="21"/>
          <w:lang w:bidi="ar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二、年基准保费</w:t>
      </w:r>
    </w:p>
    <w:p>
      <w:pPr>
        <w:autoSpaceDE w:val="0"/>
        <w:adjustRightInd w:val="0"/>
        <w:spacing w:line="360" w:lineRule="auto"/>
        <w:ind w:firstLine="420" w:firstLineChars="200"/>
        <w:rPr>
          <w:rFonts w:hAnsi="宋体" w:cs="宋体"/>
          <w:kern w:val="2"/>
          <w:sz w:val="21"/>
          <w:szCs w:val="21"/>
          <w:lang w:bidi="ar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2.77元</w:t>
      </w:r>
    </w:p>
    <w:p>
      <w:pPr>
        <w:autoSpaceDE w:val="0"/>
        <w:adjustRightInd w:val="0"/>
        <w:spacing w:line="360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hAnsi="宋体" w:cs="宋体"/>
          <w:kern w:val="2"/>
          <w:sz w:val="21"/>
          <w:szCs w:val="21"/>
          <w:lang w:bidi="ar"/>
        </w:rPr>
        <w:t>注：本产品保障药品暂未纳入基本医疗保险保障范围，故在有基本医疗保险、无基本医疗保险情况下年基准保费相同。</w:t>
      </w:r>
    </w:p>
    <w:p>
      <w:pPr>
        <w:spacing w:line="360" w:lineRule="auto"/>
        <w:ind w:firstLine="422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三、费率调整系数</w:t>
      </w:r>
    </w:p>
    <w:p>
      <w:pPr>
        <w:pStyle w:val="3"/>
        <w:ind w:left="0" w:firstLine="420" w:firstLineChars="200"/>
        <w:rPr>
          <w:bCs/>
        </w:rPr>
      </w:pPr>
      <w:r>
        <w:rPr>
          <w:rFonts w:hint="eastAsia"/>
        </w:rPr>
        <w:t>1、等待期调整系数</w:t>
      </w:r>
    </w:p>
    <w:tbl>
      <w:tblPr>
        <w:tblStyle w:val="9"/>
        <w:tblW w:w="3631" w:type="pct"/>
        <w:tblInd w:w="1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1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等待期（天）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[0,30)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(1.0,1.2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[30,90)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(0.8,1.0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[90,180]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[0.7,0.8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</w:tbl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2、赔付比例调整系数</w:t>
      </w:r>
    </w:p>
    <w:tbl>
      <w:tblPr>
        <w:tblStyle w:val="9"/>
        <w:tblW w:w="3608" w:type="pct"/>
        <w:tblInd w:w="1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3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赔付比例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30%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40%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50%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60%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70%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80%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90%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100%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注：赔付比例在本表两档之间的，采用线性插值的方式计算调整系数。</w:t>
      </w:r>
    </w:p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3、免赔额调整系数</w:t>
      </w:r>
    </w:p>
    <w:tbl>
      <w:tblPr>
        <w:tblStyle w:val="9"/>
        <w:tblW w:w="3608" w:type="pct"/>
        <w:tblInd w:w="1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免赔额（万元）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2"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[0.9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5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3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9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95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3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9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</w:tbl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4、保险金额调整系数</w:t>
      </w:r>
    </w:p>
    <w:tbl>
      <w:tblPr>
        <w:tblStyle w:val="9"/>
        <w:tblW w:w="3614" w:type="pct"/>
        <w:tblInd w:w="1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保险金额</w:t>
            </w:r>
            <w:r>
              <w:rPr>
                <w:rFonts w:hint="eastAsia" w:ascii="PMingLiU" w:hAnsi="PMingLiU" w:eastAsia="PMingLiU" w:cs="宋体"/>
                <w:b/>
                <w:bCs/>
                <w:sz w:val="21"/>
                <w:szCs w:val="21"/>
              </w:rPr>
              <w:t>/</w:t>
            </w: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基准保险金额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(0,60%]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[0.8,0.9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(60%,90%]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（0.9,0.95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(90%,100%]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(0.95,1.0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(100%,130%]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(1.0,1.1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3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0%,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30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0%]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(1.1,1.2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</w:tbl>
    <w:p>
      <w:pPr>
        <w:pStyle w:val="3"/>
        <w:ind w:left="0" w:firstLine="420" w:firstLineChars="200"/>
        <w:rPr>
          <w:rFonts w:hint="eastAsia"/>
          <w:b w:val="0"/>
        </w:rPr>
      </w:pPr>
      <w:r>
        <w:rPr>
          <w:rFonts w:hint="eastAsia"/>
        </w:rPr>
        <w:t>5、被保险人年龄调整系数</w:t>
      </w:r>
    </w:p>
    <w:tbl>
      <w:tblPr>
        <w:tblStyle w:val="9"/>
        <w:tblW w:w="3614" w:type="pct"/>
        <w:tblInd w:w="1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被保险人年龄（周岁）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[0,30]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[0.5,1.0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(30,65]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(1.0,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6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(65,85]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6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.0,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10.0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(85,100]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10.0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12.0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6、被保险人健康状况调整系数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bookmarkStart w:id="0" w:name="_Hlk163549243"/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被保险人健康状况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良好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水平一般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水平较差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  <w:bookmarkEnd w:id="0"/>
    </w:tbl>
    <w:p>
      <w:pPr>
        <w:ind w:firstLine="420" w:firstLineChars="200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注：可根据被保险人是否定期体检，生活作息是否规律，是否有抽烟与饮酒的习惯，日常是否参加户外运动或体育运动等方面进行判断。</w:t>
      </w:r>
    </w:p>
    <w:p>
      <w:pPr>
        <w:pStyle w:val="3"/>
        <w:ind w:left="0" w:firstLine="420" w:firstLineChars="200"/>
        <w:rPr>
          <w:rFonts w:hint="eastAsia"/>
          <w:lang w:eastAsia="zh-TW"/>
        </w:rPr>
      </w:pPr>
      <w:r>
        <w:rPr>
          <w:rFonts w:hint="eastAsia"/>
          <w:lang w:eastAsia="zh-TW"/>
        </w:rPr>
        <w:t>7、地区环境调整系数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地区环境调整系数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生活地区环境佳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无污染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生活地区环境良好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有轻微污染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生活地区环境普通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有一般污染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</w:tbl>
    <w:p>
      <w:pPr>
        <w:pStyle w:val="3"/>
        <w:ind w:left="0" w:firstLine="420" w:firstLineChars="200"/>
      </w:pPr>
      <w:r>
        <w:rPr>
          <w:rFonts w:hint="eastAsia" w:eastAsia="宋体"/>
        </w:rPr>
        <w:t>8</w:t>
      </w:r>
      <w:r>
        <w:rPr>
          <w:rFonts w:hint="eastAsia"/>
        </w:rPr>
        <w:t>、地区</w:t>
      </w:r>
      <w:r>
        <w:rPr>
          <w:rFonts w:hint="eastAsia" w:ascii="宋体" w:hAnsi="宋体"/>
        </w:rPr>
        <w:t>医疗水平</w:t>
      </w:r>
      <w:r>
        <w:rPr>
          <w:rFonts w:hint="eastAsia"/>
        </w:rPr>
        <w:t>调整系数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地区</w:t>
            </w:r>
            <w:r>
              <w:rPr>
                <w:rFonts w:hint="cs" w:hAnsi="宋体" w:cs="宋体"/>
                <w:b/>
                <w:bCs/>
                <w:sz w:val="21"/>
                <w:szCs w:val="21"/>
              </w:rPr>
              <w:t>医疗</w:t>
            </w: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水平调整系数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hAnsi="宋体" w:eastAsia="PMingLiU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当地医疗资源完善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医疗支出水平高于全国平均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良好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在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全国平均水平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普通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医疗支出水平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低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</w:tbl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 w:eastAsia="宋体"/>
          <w:bCs w:val="0"/>
        </w:rPr>
        <w:t>9</w:t>
      </w:r>
      <w:r>
        <w:rPr>
          <w:rFonts w:hint="eastAsia"/>
        </w:rPr>
        <w:t>、预期/历史赔付率调整系数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0%-30%（含）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30%-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5%（含）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(0.7,</w:t>
            </w:r>
            <w:r>
              <w:rPr>
                <w:rFonts w:hint="eastAsia" w:hAnsi="宋体" w:eastAsia="PMingLiU" w:cs="Arial"/>
                <w:bCs/>
                <w:kern w:val="2"/>
                <w:sz w:val="21"/>
                <w:szCs w:val="21"/>
                <w:lang w:eastAsia="zh-TW"/>
              </w:rPr>
              <w:t>1.0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5%-80%（含）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eastAsia="PMingLiU" w:cs="Arial"/>
                <w:bCs/>
                <w:kern w:val="2"/>
                <w:sz w:val="21"/>
                <w:szCs w:val="21"/>
                <w:lang w:eastAsia="zh-TW"/>
              </w:rPr>
              <w:t>1.0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3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80%以上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3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,1.5]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/>
        </w:rPr>
        <w:t>10、预估承保规模调整系数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4"/>
        <w:gridCol w:w="25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预估年度投保人数（N人）</w:t>
            </w:r>
          </w:p>
        </w:tc>
        <w:tc>
          <w:tcPr>
            <w:tcW w:w="2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＞20000</w:t>
            </w:r>
          </w:p>
        </w:tc>
        <w:tc>
          <w:tcPr>
            <w:tcW w:w="2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000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＜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N≤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20000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7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20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＜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N≤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000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9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5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＜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N≤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20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9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N≤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5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00</w:t>
            </w:r>
          </w:p>
        </w:tc>
        <w:tc>
          <w:tcPr>
            <w:tcW w:w="2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1.0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/>
          <w:lang w:eastAsia="zh-TW"/>
        </w:rPr>
        <w:t>11</w:t>
      </w:r>
      <w:r>
        <w:rPr>
          <w:rFonts w:hint="eastAsia"/>
        </w:rPr>
        <w:t>、销售渠道调整系数</w:t>
      </w:r>
    </w:p>
    <w:tbl>
      <w:tblPr>
        <w:tblStyle w:val="9"/>
        <w:tblW w:w="58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2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销售渠道</w:t>
            </w:r>
          </w:p>
        </w:tc>
        <w:tc>
          <w:tcPr>
            <w:tcW w:w="2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宋体" w:eastAsia="PMingLiU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直销（或销售费用率等同直销的渠道）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[0.7,1.0]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宋体" w:cs="宋体"/>
                <w:kern w:val="2"/>
                <w:sz w:val="21"/>
                <w:szCs w:val="21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其他第三方渠道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12" w:lineRule="auto"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[0.8,1.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3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</w:tr>
    </w:tbl>
    <w:p>
      <w:pPr>
        <w:widowControl/>
        <w:autoSpaceDE w:val="0"/>
        <w:spacing w:line="360" w:lineRule="auto"/>
        <w:ind w:firstLine="1260" w:firstLineChars="600"/>
        <w:rPr>
          <w:rFonts w:hAnsi="宋体" w:cs="宋体"/>
          <w:sz w:val="21"/>
        </w:rPr>
      </w:pPr>
      <w:r>
        <w:rPr>
          <w:rFonts w:hint="eastAsia" w:hAnsi="宋体" w:cs="宋体"/>
          <w:sz w:val="21"/>
        </w:rPr>
        <w:t>注：根据渠道销售成本调整。</w:t>
      </w:r>
    </w:p>
    <w:p>
      <w:pPr>
        <w:pStyle w:val="3"/>
        <w:ind w:left="0" w:firstLine="420" w:firstLineChars="200"/>
        <w:rPr>
          <w:rFonts w:hint="eastAsia"/>
          <w:lang w:eastAsia="zh-TW"/>
        </w:rPr>
      </w:pPr>
      <w:r>
        <w:rPr>
          <w:rFonts w:hint="eastAsia"/>
          <w:lang w:eastAsia="zh-TW"/>
        </w:rPr>
        <w:t>12、缴费方式调整系数</w:t>
      </w:r>
    </w:p>
    <w:tbl>
      <w:tblPr>
        <w:tblStyle w:val="9"/>
        <w:tblW w:w="0" w:type="auto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缴费方式</w:t>
            </w:r>
          </w:p>
        </w:tc>
        <w:tc>
          <w:tcPr>
            <w:tcW w:w="2423" w:type="dxa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312" w:lineRule="auto"/>
        <w:ind w:firstLine="422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  <w:lang w:val="en-US" w:eastAsia="zh-CN"/>
        </w:rPr>
        <w:t>四</w:t>
      </w:r>
      <w:r>
        <w:rPr>
          <w:rFonts w:hint="eastAsia" w:hAnsi="宋体" w:cs="Arial"/>
          <w:b/>
          <w:kern w:val="2"/>
          <w:sz w:val="21"/>
          <w:szCs w:val="21"/>
        </w:rPr>
        <w:t>、保险费计算</w:t>
      </w:r>
    </w:p>
    <w:p>
      <w:pPr>
        <w:spacing w:line="360" w:lineRule="auto"/>
        <w:ind w:firstLine="420" w:firstLineChars="200"/>
        <w:jc w:val="left"/>
        <w:rPr>
          <w:rFonts w:ascii="Calibri" w:hAnsi="宋体"/>
          <w:sz w:val="20"/>
          <w:szCs w:val="20"/>
        </w:rPr>
      </w:pPr>
      <w:r>
        <w:rPr>
          <w:rFonts w:hAnsi="宋体" w:cs="宋体"/>
          <w:bCs/>
          <w:sz w:val="21"/>
          <w:szCs w:val="21"/>
        </w:rPr>
        <w:t>1</w:t>
      </w:r>
      <w:r>
        <w:rPr>
          <w:rFonts w:hint="eastAsia" w:hAnsi="宋体" w:cs="宋体"/>
          <w:bCs/>
          <w:sz w:val="21"/>
          <w:szCs w:val="21"/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年保险费=年基准保费×各项费率调整系数之乘积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2、投保人选择分期缴付保险费，保险人根据保险费分期缴费期数，计收每期保险费：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年保险费=年基准保费×各项费率调整系数之乘积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每期保险费（按四舍五入计算）=年保险费÷分期缴费期数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t>注</w:t>
      </w:r>
      <w:r>
        <w:rPr>
          <w:rFonts w:hint="eastAsia" w:hAnsi="宋体" w:cs="宋体"/>
          <w:bCs/>
          <w:sz w:val="21"/>
          <w:szCs w:val="21"/>
        </w:rPr>
        <w:t>：本产品涉及分期缴费，每期缴费金额一致。</w:t>
      </w:r>
    </w:p>
    <w:p>
      <w:pPr>
        <w:ind w:firstLine="422"/>
        <w:jc w:val="left"/>
        <w:rPr>
          <w:rFonts w:hAnsi="宋体" w:cs="宋体"/>
          <w:b/>
          <w:sz w:val="21"/>
          <w:szCs w:val="21"/>
        </w:rPr>
      </w:pPr>
      <w:r>
        <w:rPr>
          <w:rFonts w:hint="eastAsia" w:hAnsi="宋体" w:cs="宋体"/>
          <w:b/>
          <w:sz w:val="21"/>
          <w:szCs w:val="21"/>
          <w:lang w:val="en-US" w:eastAsia="zh-CN"/>
        </w:rPr>
        <w:t>五</w:t>
      </w:r>
      <w:r>
        <w:rPr>
          <w:rFonts w:hint="eastAsia" w:hAnsi="宋体" w:cs="宋体"/>
          <w:b/>
          <w:sz w:val="21"/>
          <w:szCs w:val="21"/>
        </w:rPr>
        <w:t>、</w:t>
      </w:r>
      <w:r>
        <w:rPr>
          <w:rFonts w:hAnsi="宋体" w:cs="宋体"/>
          <w:b/>
          <w:sz w:val="21"/>
          <w:szCs w:val="21"/>
        </w:rPr>
        <w:t>短期费率表</w:t>
      </w:r>
    </w:p>
    <w:p>
      <w:pPr>
        <w:snapToGrid w:val="0"/>
        <w:spacing w:line="288" w:lineRule="auto"/>
        <w:ind w:firstLine="420" w:firstLineChars="20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color w:val="FF000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panose1 w:val="02020500000000000000"/>
    <w:charset w:val="88"/>
    <w:family w:val="roman"/>
    <w:pitch w:val="default"/>
    <w:sig w:usb0="A00002FF" w:usb1="2ACFFCFA" w:usb2="00000016" w:usb3="00000000" w:csb0="0010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OTg0ZTg2NjA3ZGU0MTY2MmU0Yjk5YzMyNzRlOGMifQ=="/>
  </w:docVars>
  <w:rsids>
    <w:rsidRoot w:val="009D2EA9"/>
    <w:rsid w:val="000105E8"/>
    <w:rsid w:val="000526C5"/>
    <w:rsid w:val="0005385A"/>
    <w:rsid w:val="000A313F"/>
    <w:rsid w:val="000B1F18"/>
    <w:rsid w:val="000C5F5A"/>
    <w:rsid w:val="000C7B51"/>
    <w:rsid w:val="000D71B1"/>
    <w:rsid w:val="00123601"/>
    <w:rsid w:val="001436B8"/>
    <w:rsid w:val="00152517"/>
    <w:rsid w:val="001615F8"/>
    <w:rsid w:val="00181006"/>
    <w:rsid w:val="00183679"/>
    <w:rsid w:val="001919D5"/>
    <w:rsid w:val="00193BDD"/>
    <w:rsid w:val="001968FE"/>
    <w:rsid w:val="001976C7"/>
    <w:rsid w:val="001B4D13"/>
    <w:rsid w:val="001D5561"/>
    <w:rsid w:val="001E00C1"/>
    <w:rsid w:val="00231530"/>
    <w:rsid w:val="002B7387"/>
    <w:rsid w:val="002C3D26"/>
    <w:rsid w:val="002E4BA2"/>
    <w:rsid w:val="00310925"/>
    <w:rsid w:val="0031495C"/>
    <w:rsid w:val="00332589"/>
    <w:rsid w:val="00344709"/>
    <w:rsid w:val="00374B6A"/>
    <w:rsid w:val="00393AC7"/>
    <w:rsid w:val="00396328"/>
    <w:rsid w:val="003A4F9F"/>
    <w:rsid w:val="003B5911"/>
    <w:rsid w:val="003E53F1"/>
    <w:rsid w:val="003F029A"/>
    <w:rsid w:val="00430524"/>
    <w:rsid w:val="004855B0"/>
    <w:rsid w:val="004A56DF"/>
    <w:rsid w:val="004B606B"/>
    <w:rsid w:val="004D7679"/>
    <w:rsid w:val="00513C05"/>
    <w:rsid w:val="0051705F"/>
    <w:rsid w:val="00567A01"/>
    <w:rsid w:val="0059086D"/>
    <w:rsid w:val="005A1F73"/>
    <w:rsid w:val="005A3C37"/>
    <w:rsid w:val="005D6127"/>
    <w:rsid w:val="005E6C18"/>
    <w:rsid w:val="0061317C"/>
    <w:rsid w:val="00614A57"/>
    <w:rsid w:val="00617A35"/>
    <w:rsid w:val="0062007F"/>
    <w:rsid w:val="00634A7C"/>
    <w:rsid w:val="006D7A85"/>
    <w:rsid w:val="006F3152"/>
    <w:rsid w:val="007448E8"/>
    <w:rsid w:val="00746647"/>
    <w:rsid w:val="007573E8"/>
    <w:rsid w:val="00767B6C"/>
    <w:rsid w:val="007877A5"/>
    <w:rsid w:val="00797356"/>
    <w:rsid w:val="007A6589"/>
    <w:rsid w:val="007B4505"/>
    <w:rsid w:val="007D4633"/>
    <w:rsid w:val="007D7523"/>
    <w:rsid w:val="007E2528"/>
    <w:rsid w:val="007E69CA"/>
    <w:rsid w:val="007F1154"/>
    <w:rsid w:val="00800D98"/>
    <w:rsid w:val="008678A4"/>
    <w:rsid w:val="00875D38"/>
    <w:rsid w:val="0089682C"/>
    <w:rsid w:val="00897B55"/>
    <w:rsid w:val="008C24CF"/>
    <w:rsid w:val="00951A4C"/>
    <w:rsid w:val="00993956"/>
    <w:rsid w:val="009C279D"/>
    <w:rsid w:val="009D2EA9"/>
    <w:rsid w:val="009F28B5"/>
    <w:rsid w:val="009F5C7C"/>
    <w:rsid w:val="00A322C2"/>
    <w:rsid w:val="00A60346"/>
    <w:rsid w:val="00AB28C3"/>
    <w:rsid w:val="00B3220F"/>
    <w:rsid w:val="00B64D2C"/>
    <w:rsid w:val="00B650CE"/>
    <w:rsid w:val="00B728FF"/>
    <w:rsid w:val="00BF42BB"/>
    <w:rsid w:val="00C006C5"/>
    <w:rsid w:val="00C3408A"/>
    <w:rsid w:val="00C3789F"/>
    <w:rsid w:val="00C87FB9"/>
    <w:rsid w:val="00CB773E"/>
    <w:rsid w:val="00D02DC0"/>
    <w:rsid w:val="00D31F71"/>
    <w:rsid w:val="00D542FA"/>
    <w:rsid w:val="00D90B37"/>
    <w:rsid w:val="00D925DE"/>
    <w:rsid w:val="00DA13CC"/>
    <w:rsid w:val="00DB55C6"/>
    <w:rsid w:val="00DE0D34"/>
    <w:rsid w:val="00E058A8"/>
    <w:rsid w:val="00E12A41"/>
    <w:rsid w:val="00E23331"/>
    <w:rsid w:val="00E265A2"/>
    <w:rsid w:val="00E35F1D"/>
    <w:rsid w:val="00E524C7"/>
    <w:rsid w:val="00E661F6"/>
    <w:rsid w:val="00ED53CA"/>
    <w:rsid w:val="00ED5725"/>
    <w:rsid w:val="00F0565D"/>
    <w:rsid w:val="00F4122C"/>
    <w:rsid w:val="00F75AFB"/>
    <w:rsid w:val="00F765D2"/>
    <w:rsid w:val="00FD062B"/>
    <w:rsid w:val="00FE1113"/>
    <w:rsid w:val="00FF23EA"/>
    <w:rsid w:val="01160C25"/>
    <w:rsid w:val="01292EFD"/>
    <w:rsid w:val="03413741"/>
    <w:rsid w:val="03690011"/>
    <w:rsid w:val="03C27B7D"/>
    <w:rsid w:val="03FC1FF2"/>
    <w:rsid w:val="04060867"/>
    <w:rsid w:val="04203ED0"/>
    <w:rsid w:val="04225EA6"/>
    <w:rsid w:val="04F45324"/>
    <w:rsid w:val="057D53A7"/>
    <w:rsid w:val="05EB7128"/>
    <w:rsid w:val="062D783D"/>
    <w:rsid w:val="08B202D9"/>
    <w:rsid w:val="09015BE9"/>
    <w:rsid w:val="0A20364D"/>
    <w:rsid w:val="0B7117B3"/>
    <w:rsid w:val="0B80442B"/>
    <w:rsid w:val="0BC24FE7"/>
    <w:rsid w:val="0BCD25F3"/>
    <w:rsid w:val="0C4A566D"/>
    <w:rsid w:val="0CC2440E"/>
    <w:rsid w:val="0D3F6EA3"/>
    <w:rsid w:val="0E3F43A3"/>
    <w:rsid w:val="0E893F9F"/>
    <w:rsid w:val="0FAA7E32"/>
    <w:rsid w:val="112A1769"/>
    <w:rsid w:val="1195219F"/>
    <w:rsid w:val="12A91FEB"/>
    <w:rsid w:val="137836D4"/>
    <w:rsid w:val="147867A1"/>
    <w:rsid w:val="159D7AC9"/>
    <w:rsid w:val="15C471A6"/>
    <w:rsid w:val="163F682C"/>
    <w:rsid w:val="16A955FC"/>
    <w:rsid w:val="1710427C"/>
    <w:rsid w:val="17857DA8"/>
    <w:rsid w:val="182A4033"/>
    <w:rsid w:val="1B004294"/>
    <w:rsid w:val="1B610582"/>
    <w:rsid w:val="1BBF3482"/>
    <w:rsid w:val="1BC25F36"/>
    <w:rsid w:val="1C804A2D"/>
    <w:rsid w:val="1DE10D41"/>
    <w:rsid w:val="1F3D1F15"/>
    <w:rsid w:val="210E4263"/>
    <w:rsid w:val="21F22A3C"/>
    <w:rsid w:val="225D0039"/>
    <w:rsid w:val="23FC4684"/>
    <w:rsid w:val="25285D3D"/>
    <w:rsid w:val="26937DAE"/>
    <w:rsid w:val="26C45BFD"/>
    <w:rsid w:val="27162C94"/>
    <w:rsid w:val="27B42E77"/>
    <w:rsid w:val="297214C3"/>
    <w:rsid w:val="2A2345B4"/>
    <w:rsid w:val="2A327258"/>
    <w:rsid w:val="2BDE0535"/>
    <w:rsid w:val="2CB34A44"/>
    <w:rsid w:val="2CE86DA6"/>
    <w:rsid w:val="2E10227E"/>
    <w:rsid w:val="2E1D2F4E"/>
    <w:rsid w:val="2EF1514C"/>
    <w:rsid w:val="2F3F6B2C"/>
    <w:rsid w:val="30E16354"/>
    <w:rsid w:val="30FC114A"/>
    <w:rsid w:val="314158B5"/>
    <w:rsid w:val="3413280D"/>
    <w:rsid w:val="34280D47"/>
    <w:rsid w:val="347B247A"/>
    <w:rsid w:val="35CA1203"/>
    <w:rsid w:val="36800AC3"/>
    <w:rsid w:val="36931FE0"/>
    <w:rsid w:val="36C5274F"/>
    <w:rsid w:val="37904CE2"/>
    <w:rsid w:val="382C65D7"/>
    <w:rsid w:val="389A3241"/>
    <w:rsid w:val="389B4EDB"/>
    <w:rsid w:val="38B404F0"/>
    <w:rsid w:val="38EB7498"/>
    <w:rsid w:val="39662920"/>
    <w:rsid w:val="3A1A4C54"/>
    <w:rsid w:val="3AA8477D"/>
    <w:rsid w:val="3B3D0FF1"/>
    <w:rsid w:val="3CAC3313"/>
    <w:rsid w:val="3F59368F"/>
    <w:rsid w:val="3FDBC2B6"/>
    <w:rsid w:val="40096AB1"/>
    <w:rsid w:val="416F4C32"/>
    <w:rsid w:val="418F600A"/>
    <w:rsid w:val="41D73CE9"/>
    <w:rsid w:val="42D74C54"/>
    <w:rsid w:val="433108D4"/>
    <w:rsid w:val="435B2648"/>
    <w:rsid w:val="464D536D"/>
    <w:rsid w:val="47396071"/>
    <w:rsid w:val="48A43854"/>
    <w:rsid w:val="49924C7B"/>
    <w:rsid w:val="49AA17FE"/>
    <w:rsid w:val="4A407EA2"/>
    <w:rsid w:val="4AC829AA"/>
    <w:rsid w:val="4AE44EBC"/>
    <w:rsid w:val="4B967466"/>
    <w:rsid w:val="4B9A1072"/>
    <w:rsid w:val="4C510D14"/>
    <w:rsid w:val="4D2772C7"/>
    <w:rsid w:val="4E2F1811"/>
    <w:rsid w:val="4F7A5C04"/>
    <w:rsid w:val="4F8B78D6"/>
    <w:rsid w:val="4FEA5EAD"/>
    <w:rsid w:val="50A311A3"/>
    <w:rsid w:val="52F4325B"/>
    <w:rsid w:val="530A0851"/>
    <w:rsid w:val="54047BE2"/>
    <w:rsid w:val="558414E6"/>
    <w:rsid w:val="568611C3"/>
    <w:rsid w:val="56BA5B79"/>
    <w:rsid w:val="57287FDB"/>
    <w:rsid w:val="572E11A9"/>
    <w:rsid w:val="582C2F3B"/>
    <w:rsid w:val="5AD563F4"/>
    <w:rsid w:val="5B115BE2"/>
    <w:rsid w:val="5BE43503"/>
    <w:rsid w:val="5CB63D34"/>
    <w:rsid w:val="5DC161D8"/>
    <w:rsid w:val="5E492B03"/>
    <w:rsid w:val="5E512215"/>
    <w:rsid w:val="5EB760E5"/>
    <w:rsid w:val="5F226459"/>
    <w:rsid w:val="5F9829C2"/>
    <w:rsid w:val="61D6330C"/>
    <w:rsid w:val="633F7E95"/>
    <w:rsid w:val="63BD4EB9"/>
    <w:rsid w:val="665A5BC1"/>
    <w:rsid w:val="666C20AC"/>
    <w:rsid w:val="675E4CA8"/>
    <w:rsid w:val="676845BD"/>
    <w:rsid w:val="694864B2"/>
    <w:rsid w:val="6A543013"/>
    <w:rsid w:val="6A5C4EA8"/>
    <w:rsid w:val="6B4204F8"/>
    <w:rsid w:val="6B706F0B"/>
    <w:rsid w:val="6C555661"/>
    <w:rsid w:val="6C9D5F8D"/>
    <w:rsid w:val="6CEB0119"/>
    <w:rsid w:val="6D9FE187"/>
    <w:rsid w:val="6ED42C2C"/>
    <w:rsid w:val="6F820641"/>
    <w:rsid w:val="7397088D"/>
    <w:rsid w:val="74A03E02"/>
    <w:rsid w:val="758F2146"/>
    <w:rsid w:val="759A7160"/>
    <w:rsid w:val="75BF29AD"/>
    <w:rsid w:val="764364A0"/>
    <w:rsid w:val="770A3841"/>
    <w:rsid w:val="778A0F62"/>
    <w:rsid w:val="799D4BAC"/>
    <w:rsid w:val="7A006C6F"/>
    <w:rsid w:val="7A8F40D8"/>
    <w:rsid w:val="7B2B534C"/>
    <w:rsid w:val="7BB79729"/>
    <w:rsid w:val="7BF35B8E"/>
    <w:rsid w:val="7D722C8D"/>
    <w:rsid w:val="7ED7293A"/>
    <w:rsid w:val="7EDD3BB7"/>
    <w:rsid w:val="7F596B03"/>
    <w:rsid w:val="7FB139BF"/>
    <w:rsid w:val="7FBB7C9F"/>
    <w:rsid w:val="8FF5CCB1"/>
    <w:rsid w:val="BFFF5BF2"/>
    <w:rsid w:val="FBEB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qFormat/>
    <w:uiPriority w:val="0"/>
    <w:pPr>
      <w:jc w:val="left"/>
    </w:pPr>
  </w:style>
  <w:style w:type="paragraph" w:styleId="3">
    <w:name w:val="Plain Text"/>
    <w:basedOn w:val="1"/>
    <w:autoRedefine/>
    <w:qFormat/>
    <w:uiPriority w:val="0"/>
    <w:pPr>
      <w:widowControl/>
      <w:spacing w:line="360" w:lineRule="auto"/>
      <w:ind w:left="420" w:hanging="420"/>
    </w:pPr>
    <w:rPr>
      <w:rFonts w:hAnsi="宋体" w:cs="宋体"/>
      <w:kern w:val="2"/>
      <w:sz w:val="21"/>
      <w:szCs w:val="21"/>
    </w:rPr>
  </w:style>
  <w:style w:type="paragraph" w:styleId="4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8">
    <w:name w:val="annotation subject"/>
    <w:basedOn w:val="2"/>
    <w:next w:val="2"/>
    <w:link w:val="16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3">
    <w:name w:val="批注框文本 字符"/>
    <w:basedOn w:val="11"/>
    <w:link w:val="4"/>
    <w:autoRedefine/>
    <w:qFormat/>
    <w:uiPriority w:val="0"/>
    <w:rPr>
      <w:rFonts w:ascii="宋体"/>
      <w:sz w:val="18"/>
      <w:szCs w:val="18"/>
    </w:rPr>
  </w:style>
  <w:style w:type="character" w:customStyle="1" w:styleId="14">
    <w:name w:val="页眉 字符"/>
    <w:basedOn w:val="11"/>
    <w:link w:val="6"/>
    <w:autoRedefine/>
    <w:qFormat/>
    <w:uiPriority w:val="0"/>
    <w:rPr>
      <w:rFonts w:ascii="宋体"/>
      <w:sz w:val="18"/>
      <w:szCs w:val="18"/>
    </w:rPr>
  </w:style>
  <w:style w:type="character" w:customStyle="1" w:styleId="15">
    <w:name w:val="批注文字 字符"/>
    <w:basedOn w:val="11"/>
    <w:link w:val="2"/>
    <w:autoRedefine/>
    <w:qFormat/>
    <w:uiPriority w:val="0"/>
    <w:rPr>
      <w:rFonts w:ascii="宋体"/>
      <w:sz w:val="34"/>
      <w:szCs w:val="22"/>
    </w:rPr>
  </w:style>
  <w:style w:type="character" w:customStyle="1" w:styleId="16">
    <w:name w:val="批注主题 字符"/>
    <w:basedOn w:val="15"/>
    <w:link w:val="8"/>
    <w:autoRedefine/>
    <w:qFormat/>
    <w:uiPriority w:val="0"/>
    <w:rPr>
      <w:rFonts w:ascii="宋体"/>
      <w:b/>
      <w:bCs/>
      <w:sz w:val="34"/>
      <w:szCs w:val="22"/>
    </w:rPr>
  </w:style>
  <w:style w:type="paragraph" w:customStyle="1" w:styleId="17">
    <w:name w:val="修订1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table" w:customStyle="1" w:styleId="18">
    <w:name w:val="网格型1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修订2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20">
    <w:name w:val="列表段落1"/>
    <w:basedOn w:val="1"/>
    <w:autoRedefine/>
    <w:qFormat/>
    <w:uiPriority w:val="0"/>
    <w:pPr>
      <w:ind w:firstLine="420" w:firstLineChars="200"/>
    </w:pPr>
    <w:rPr>
      <w:rFonts w:ascii="Times New Roman"/>
      <w:kern w:val="2"/>
      <w:sz w:val="21"/>
      <w:szCs w:val="21"/>
    </w:rPr>
  </w:style>
  <w:style w:type="character" w:customStyle="1" w:styleId="21">
    <w:name w:val="15"/>
    <w:basedOn w:val="11"/>
    <w:autoRedefine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275</Words>
  <Characters>1571</Characters>
  <Lines>13</Lines>
  <Paragraphs>3</Paragraphs>
  <TotalTime>25</TotalTime>
  <ScaleCrop>false</ScaleCrop>
  <LinksUpToDate>false</LinksUpToDate>
  <CharactersWithSpaces>1843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2021-09-09T18:47:00Z</dcterms:created>
  <dc:creator>Lenovo</dc:creator>
  <cp:lastModifiedBy>Zixuan Shen</cp:lastModifiedBy>
  <dcterms:modified xsi:type="dcterms:W3CDTF">2024-04-10T02:59:14Z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5E16B315E230495E88BEFEB44E16223A_13</vt:lpwstr>
  </property>
</Properties>
</file>