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宋体"/>
          <w:b/>
          <w:bCs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</w:rPr>
        <w:t>华农财产保险股份有限公司</w:t>
      </w:r>
    </w:p>
    <w:p>
      <w:pPr>
        <w:jc w:val="center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</w:rPr>
        <w:t>附加个人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eastAsia="zh-Hans"/>
        </w:rPr>
        <w:t>重大疾病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</w:rPr>
        <w:t>住院津贴医疗保险A款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费率表(互联网专属)</w:t>
      </w:r>
    </w:p>
    <w:p>
      <w:pPr>
        <w:adjustRightInd w:val="0"/>
        <w:snapToGrid w:val="0"/>
        <w:spacing w:line="360" w:lineRule="auto"/>
        <w:ind w:firstLine="420" w:firstLineChars="200"/>
        <w:rPr>
          <w:rFonts w:ascii="宋体" w:hAnsi="宋体" w:eastAsia="宋体" w:cs="宋体"/>
          <w:szCs w:val="21"/>
        </w:rPr>
      </w:pPr>
    </w:p>
    <w:p>
      <w:pPr>
        <w:adjustRightInd w:val="0"/>
        <w:snapToGrid w:val="0"/>
        <w:spacing w:line="360" w:lineRule="auto"/>
        <w:ind w:firstLine="422" w:firstLineChars="200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一、基准给付标准</w:t>
      </w:r>
    </w:p>
    <w:p>
      <w:pPr>
        <w:widowControl/>
        <w:adjustRightInd w:val="0"/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基准住院日给付金额：</w:t>
      </w:r>
      <w:r>
        <w:rPr>
          <w:rFonts w:ascii="宋体" w:hAnsi="宋体" w:eastAsia="宋体" w:cs="宋体"/>
          <w:szCs w:val="21"/>
        </w:rPr>
        <w:t>2</w:t>
      </w:r>
      <w:r>
        <w:rPr>
          <w:rFonts w:hint="eastAsia" w:ascii="宋体" w:hAnsi="宋体" w:eastAsia="宋体" w:cs="宋体"/>
          <w:szCs w:val="21"/>
        </w:rPr>
        <w:t>00元/日</w:t>
      </w:r>
    </w:p>
    <w:p>
      <w:pPr>
        <w:widowControl/>
        <w:adjustRightInd w:val="0"/>
        <w:snapToGrid w:val="0"/>
        <w:spacing w:line="360" w:lineRule="auto"/>
        <w:ind w:firstLine="422" w:firstLineChars="200"/>
        <w:jc w:val="left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二、年基准保险费</w:t>
      </w:r>
    </w:p>
    <w:tbl>
      <w:tblPr>
        <w:tblStyle w:val="8"/>
        <w:tblW w:w="55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7"/>
        <w:gridCol w:w="3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547" w:type="dxa"/>
            <w:noWrap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年龄</w:t>
            </w:r>
          </w:p>
        </w:tc>
        <w:tc>
          <w:tcPr>
            <w:tcW w:w="3008" w:type="dxa"/>
            <w:tcBorders>
              <w:bottom w:val="single" w:color="auto" w:sz="4" w:space="0"/>
            </w:tcBorders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年基准保险费（单位：元）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547" w:type="dxa"/>
            <w:tcBorders>
              <w:right w:val="single" w:color="auto" w:sz="4" w:space="0"/>
            </w:tcBorders>
            <w:noWrap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0-4周岁</w:t>
            </w:r>
          </w:p>
        </w:tc>
        <w:tc>
          <w:tcPr>
            <w:tcW w:w="3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547" w:type="dxa"/>
            <w:tcBorders>
              <w:right w:val="single" w:color="auto" w:sz="4" w:space="0"/>
            </w:tcBorders>
            <w:noWrap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5-10周岁</w:t>
            </w:r>
          </w:p>
        </w:tc>
        <w:tc>
          <w:tcPr>
            <w:tcW w:w="3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547" w:type="dxa"/>
            <w:tcBorders>
              <w:right w:val="single" w:color="auto" w:sz="4" w:space="0"/>
            </w:tcBorders>
            <w:noWrap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11-15周岁</w:t>
            </w:r>
          </w:p>
        </w:tc>
        <w:tc>
          <w:tcPr>
            <w:tcW w:w="3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547" w:type="dxa"/>
            <w:tcBorders>
              <w:right w:val="single" w:color="auto" w:sz="4" w:space="0"/>
            </w:tcBorders>
            <w:noWrap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16-20周岁</w:t>
            </w:r>
          </w:p>
        </w:tc>
        <w:tc>
          <w:tcPr>
            <w:tcW w:w="3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547" w:type="dxa"/>
            <w:tcBorders>
              <w:right w:val="single" w:color="auto" w:sz="4" w:space="0"/>
            </w:tcBorders>
            <w:noWrap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21-25周岁</w:t>
            </w:r>
          </w:p>
        </w:tc>
        <w:tc>
          <w:tcPr>
            <w:tcW w:w="3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547" w:type="dxa"/>
            <w:tcBorders>
              <w:right w:val="single" w:color="auto" w:sz="4" w:space="0"/>
            </w:tcBorders>
            <w:noWrap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26-30周岁</w:t>
            </w:r>
          </w:p>
        </w:tc>
        <w:tc>
          <w:tcPr>
            <w:tcW w:w="3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547" w:type="dxa"/>
            <w:tcBorders>
              <w:right w:val="single" w:color="auto" w:sz="4" w:space="0"/>
            </w:tcBorders>
            <w:noWrap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31-35周岁</w:t>
            </w:r>
          </w:p>
        </w:tc>
        <w:tc>
          <w:tcPr>
            <w:tcW w:w="3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547" w:type="dxa"/>
            <w:tcBorders>
              <w:right w:val="single" w:color="auto" w:sz="4" w:space="0"/>
            </w:tcBorders>
            <w:noWrap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36-40周岁</w:t>
            </w:r>
          </w:p>
        </w:tc>
        <w:tc>
          <w:tcPr>
            <w:tcW w:w="3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547" w:type="dxa"/>
            <w:tcBorders>
              <w:right w:val="single" w:color="auto" w:sz="4" w:space="0"/>
            </w:tcBorders>
            <w:noWrap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41-45周岁</w:t>
            </w:r>
          </w:p>
        </w:tc>
        <w:tc>
          <w:tcPr>
            <w:tcW w:w="3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547" w:type="dxa"/>
            <w:tcBorders>
              <w:right w:val="single" w:color="auto" w:sz="4" w:space="0"/>
            </w:tcBorders>
            <w:noWrap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46-50周岁</w:t>
            </w:r>
          </w:p>
        </w:tc>
        <w:tc>
          <w:tcPr>
            <w:tcW w:w="3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547" w:type="dxa"/>
            <w:tcBorders>
              <w:right w:val="single" w:color="auto" w:sz="4" w:space="0"/>
            </w:tcBorders>
            <w:noWrap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51-55周岁</w:t>
            </w:r>
          </w:p>
        </w:tc>
        <w:tc>
          <w:tcPr>
            <w:tcW w:w="3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547" w:type="dxa"/>
            <w:tcBorders>
              <w:right w:val="single" w:color="auto" w:sz="4" w:space="0"/>
            </w:tcBorders>
            <w:noWrap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56-60周岁</w:t>
            </w:r>
          </w:p>
        </w:tc>
        <w:tc>
          <w:tcPr>
            <w:tcW w:w="3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547" w:type="dxa"/>
            <w:tcBorders>
              <w:right w:val="single" w:color="auto" w:sz="4" w:space="0"/>
            </w:tcBorders>
            <w:noWrap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61-65周岁</w:t>
            </w:r>
          </w:p>
        </w:tc>
        <w:tc>
          <w:tcPr>
            <w:tcW w:w="3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113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547" w:type="dxa"/>
            <w:tcBorders>
              <w:right w:val="single" w:color="auto" w:sz="4" w:space="0"/>
            </w:tcBorders>
            <w:noWrap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66-70周岁</w:t>
            </w:r>
          </w:p>
        </w:tc>
        <w:tc>
          <w:tcPr>
            <w:tcW w:w="3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203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547" w:type="dxa"/>
            <w:tcBorders>
              <w:right w:val="single" w:color="auto" w:sz="4" w:space="0"/>
            </w:tcBorders>
            <w:noWrap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71-75周岁</w:t>
            </w:r>
          </w:p>
        </w:tc>
        <w:tc>
          <w:tcPr>
            <w:tcW w:w="3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293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547" w:type="dxa"/>
            <w:tcBorders>
              <w:right w:val="single" w:color="auto" w:sz="4" w:space="0"/>
            </w:tcBorders>
            <w:noWrap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76-80周岁</w:t>
            </w:r>
          </w:p>
        </w:tc>
        <w:tc>
          <w:tcPr>
            <w:tcW w:w="3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443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547" w:type="dxa"/>
            <w:tcBorders>
              <w:right w:val="single" w:color="auto" w:sz="4" w:space="0"/>
            </w:tcBorders>
            <w:noWrap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81-85周岁</w:t>
            </w:r>
          </w:p>
        </w:tc>
        <w:tc>
          <w:tcPr>
            <w:tcW w:w="3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578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547" w:type="dxa"/>
            <w:tcBorders>
              <w:right w:val="single" w:color="auto" w:sz="4" w:space="0"/>
            </w:tcBorders>
            <w:noWrap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86-90周岁</w:t>
            </w:r>
          </w:p>
        </w:tc>
        <w:tc>
          <w:tcPr>
            <w:tcW w:w="3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773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2547" w:type="dxa"/>
            <w:tcBorders>
              <w:right w:val="single" w:color="auto" w:sz="4" w:space="0"/>
            </w:tcBorders>
            <w:noWrap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91-95周岁</w:t>
            </w:r>
          </w:p>
        </w:tc>
        <w:tc>
          <w:tcPr>
            <w:tcW w:w="3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1008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547" w:type="dxa"/>
            <w:tcBorders>
              <w:right w:val="single" w:color="auto" w:sz="4" w:space="0"/>
            </w:tcBorders>
            <w:noWrap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96-100周岁</w:t>
            </w:r>
          </w:p>
        </w:tc>
        <w:tc>
          <w:tcPr>
            <w:tcW w:w="3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1268</w:t>
            </w:r>
          </w:p>
        </w:tc>
      </w:tr>
    </w:tbl>
    <w:p>
      <w:pPr>
        <w:adjustRightInd w:val="0"/>
        <w:snapToGrid w:val="0"/>
        <w:spacing w:before="156" w:beforeLines="50" w:line="360" w:lineRule="auto"/>
        <w:ind w:firstLine="42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注：</w:t>
      </w:r>
      <w:r>
        <w:rPr>
          <w:rFonts w:ascii="宋体" w:hAnsi="宋体" w:eastAsia="宋体" w:cs="宋体"/>
          <w:szCs w:val="21"/>
        </w:rPr>
        <w:t>0周岁指出生满30日且健康出院。</w:t>
      </w:r>
    </w:p>
    <w:p>
      <w:pPr>
        <w:adjustRightInd w:val="0"/>
        <w:snapToGrid w:val="0"/>
        <w:spacing w:before="156" w:beforeLines="50" w:line="360" w:lineRule="auto"/>
        <w:ind w:firstLine="420"/>
        <w:jc w:val="left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三、 费率调整系数</w:t>
      </w:r>
    </w:p>
    <w:p>
      <w:pPr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1、住院日给付金额调整系数：根据承保时约定的住院日给付金额，进行划分。</w:t>
      </w:r>
    </w:p>
    <w:tbl>
      <w:tblPr>
        <w:tblStyle w:val="7"/>
        <w:tblW w:w="933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5"/>
        <w:gridCol w:w="1560"/>
        <w:gridCol w:w="1701"/>
        <w:gridCol w:w="1842"/>
        <w:gridCol w:w="20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221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住院日给付金额（元）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（</w:t>
            </w:r>
            <w:r>
              <w:rPr>
                <w:rFonts w:ascii="宋体" w:hAnsi="宋体" w:eastAsia="宋体" w:cs="宋体"/>
                <w:szCs w:val="21"/>
                <w:lang w:eastAsia="zh-Hans"/>
              </w:rPr>
              <w:t>0,</w:t>
            </w:r>
            <w:r>
              <w:rPr>
                <w:rFonts w:ascii="宋体" w:hAnsi="宋体" w:eastAsia="宋体" w:cs="宋体"/>
                <w:szCs w:val="21"/>
              </w:rPr>
              <w:t>200</w:t>
            </w:r>
            <w:r>
              <w:rPr>
                <w:rFonts w:hint="eastAsia" w:ascii="宋体" w:hAnsi="宋体" w:eastAsia="宋体" w:cs="宋体"/>
                <w:szCs w:val="21"/>
              </w:rPr>
              <w:t>]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</w:rPr>
              <w:t>(200</w:t>
            </w:r>
            <w:r>
              <w:rPr>
                <w:rFonts w:hint="eastAsia" w:ascii="宋体" w:hAnsi="宋体" w:eastAsia="宋体" w:cs="宋体"/>
                <w:szCs w:val="21"/>
              </w:rPr>
              <w:t>,</w:t>
            </w:r>
            <w:r>
              <w:rPr>
                <w:rFonts w:ascii="宋体" w:hAnsi="宋体" w:eastAsia="宋体" w:cs="宋体"/>
                <w:szCs w:val="21"/>
              </w:rPr>
              <w:t>500</w:t>
            </w:r>
            <w:r>
              <w:rPr>
                <w:rFonts w:hint="eastAsia" w:ascii="宋体" w:hAnsi="宋体" w:eastAsia="宋体" w:cs="宋体"/>
                <w:szCs w:val="21"/>
              </w:rPr>
              <w:t>]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</w:rPr>
              <w:t>(500</w:t>
            </w:r>
            <w:r>
              <w:rPr>
                <w:rFonts w:hint="eastAsia" w:ascii="宋体" w:hAnsi="宋体" w:eastAsia="宋体" w:cs="宋体"/>
                <w:szCs w:val="21"/>
              </w:rPr>
              <w:t>,</w:t>
            </w:r>
            <w:r>
              <w:rPr>
                <w:rFonts w:ascii="宋体" w:hAnsi="宋体" w:eastAsia="宋体" w:cs="宋体"/>
                <w:szCs w:val="21"/>
              </w:rPr>
              <w:t>100</w:t>
            </w:r>
            <w:r>
              <w:rPr>
                <w:rFonts w:hint="eastAsia" w:ascii="宋体" w:hAnsi="宋体" w:eastAsia="宋体" w:cs="宋体"/>
                <w:szCs w:val="21"/>
              </w:rPr>
              <w:t>0]</w:t>
            </w:r>
          </w:p>
        </w:tc>
        <w:tc>
          <w:tcPr>
            <w:tcW w:w="201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</w:rPr>
              <w:t>(1000</w:t>
            </w:r>
            <w:r>
              <w:rPr>
                <w:rFonts w:hint="eastAsia" w:ascii="宋体" w:hAnsi="宋体" w:eastAsia="宋体" w:cs="宋体"/>
                <w:szCs w:val="21"/>
              </w:rPr>
              <w:t>,</w:t>
            </w:r>
            <w:r>
              <w:rPr>
                <w:rFonts w:ascii="宋体" w:hAnsi="宋体" w:eastAsia="宋体" w:cs="宋体"/>
                <w:szCs w:val="21"/>
              </w:rPr>
              <w:t>200</w:t>
            </w:r>
            <w:r>
              <w:rPr>
                <w:rFonts w:hint="eastAsia" w:ascii="宋体" w:hAnsi="宋体" w:eastAsia="宋体" w:cs="宋体"/>
                <w:szCs w:val="21"/>
              </w:rPr>
              <w:t>0]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221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调整系数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</w:rPr>
              <w:t>[</w:t>
            </w:r>
            <w:r>
              <w:rPr>
                <w:rFonts w:hint="eastAsia" w:ascii="宋体" w:hAnsi="宋体" w:eastAsia="宋体" w:cs="宋体"/>
                <w:szCs w:val="21"/>
              </w:rPr>
              <w:t>0.</w:t>
            </w:r>
            <w:r>
              <w:rPr>
                <w:rFonts w:ascii="宋体" w:hAnsi="宋体" w:eastAsia="宋体" w:cs="宋体"/>
                <w:szCs w:val="21"/>
              </w:rPr>
              <w:t>5</w:t>
            </w:r>
            <w:r>
              <w:rPr>
                <w:rFonts w:hint="eastAsia" w:ascii="宋体" w:hAnsi="宋体" w:eastAsia="宋体" w:cs="宋体"/>
                <w:szCs w:val="21"/>
              </w:rPr>
              <w:t>,</w:t>
            </w:r>
            <w:r>
              <w:rPr>
                <w:rFonts w:ascii="宋体" w:hAnsi="宋体" w:eastAsia="宋体" w:cs="宋体"/>
                <w:szCs w:val="21"/>
              </w:rPr>
              <w:t>1.0]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</w:rPr>
              <w:t>(1.0</w:t>
            </w:r>
            <w:r>
              <w:rPr>
                <w:rFonts w:hint="eastAsia" w:ascii="宋体" w:hAnsi="宋体" w:eastAsia="宋体" w:cs="宋体"/>
                <w:szCs w:val="21"/>
              </w:rPr>
              <w:t>,1.</w:t>
            </w:r>
            <w:r>
              <w:rPr>
                <w:rFonts w:ascii="宋体" w:hAnsi="宋体" w:eastAsia="宋体" w:cs="宋体"/>
                <w:szCs w:val="21"/>
              </w:rPr>
              <w:t>5]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</w:rPr>
              <w:t>(1.5</w:t>
            </w:r>
            <w:r>
              <w:rPr>
                <w:rFonts w:hint="eastAsia" w:ascii="宋体" w:hAnsi="宋体" w:eastAsia="宋体" w:cs="宋体"/>
                <w:szCs w:val="21"/>
              </w:rPr>
              <w:t>,</w:t>
            </w:r>
            <w:r>
              <w:rPr>
                <w:rFonts w:ascii="宋体" w:hAnsi="宋体" w:eastAsia="宋体" w:cs="宋体"/>
                <w:szCs w:val="21"/>
              </w:rPr>
              <w:t>2.0]</w:t>
            </w:r>
          </w:p>
        </w:tc>
        <w:tc>
          <w:tcPr>
            <w:tcW w:w="201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</w:rPr>
              <w:t>(2.0</w:t>
            </w:r>
            <w:r>
              <w:rPr>
                <w:rFonts w:hint="eastAsia" w:ascii="宋体" w:hAnsi="宋体" w:eastAsia="宋体" w:cs="宋体"/>
                <w:szCs w:val="21"/>
              </w:rPr>
              <w:t>,</w:t>
            </w:r>
            <w:r>
              <w:rPr>
                <w:rFonts w:ascii="宋体" w:hAnsi="宋体" w:eastAsia="宋体" w:cs="宋体"/>
                <w:szCs w:val="21"/>
              </w:rPr>
              <w:t>3.0]</w:t>
            </w:r>
          </w:p>
        </w:tc>
      </w:tr>
    </w:tbl>
    <w:p>
      <w:pPr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2</w:t>
      </w:r>
      <w:r>
        <w:rPr>
          <w:rFonts w:hint="eastAsia" w:ascii="宋体" w:hAnsi="宋体" w:eastAsia="宋体" w:cs="宋体"/>
          <w:szCs w:val="21"/>
        </w:rPr>
        <w:t>、每次住院免赔天数调整系数：根据承保时约定的每次住院免赔天数，进行划分。</w:t>
      </w:r>
    </w:p>
    <w:tbl>
      <w:tblPr>
        <w:tblStyle w:val="7"/>
        <w:tblW w:w="93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5"/>
        <w:gridCol w:w="1134"/>
        <w:gridCol w:w="1198"/>
        <w:gridCol w:w="1057"/>
        <w:gridCol w:w="1345"/>
        <w:gridCol w:w="1346"/>
        <w:gridCol w:w="134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1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每次住院免赔天数（天）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0</w:t>
            </w:r>
          </w:p>
        </w:tc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</w:t>
            </w:r>
          </w:p>
        </w:tc>
        <w:tc>
          <w:tcPr>
            <w:tcW w:w="1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</w:t>
            </w: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调整系数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1.0</w:t>
            </w:r>
          </w:p>
        </w:tc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0.95</w:t>
            </w:r>
          </w:p>
        </w:tc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0.9</w:t>
            </w: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0.85</w:t>
            </w:r>
          </w:p>
        </w:tc>
        <w:tc>
          <w:tcPr>
            <w:tcW w:w="1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0.8</w:t>
            </w: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0.75</w:t>
            </w:r>
          </w:p>
        </w:tc>
      </w:tr>
    </w:tbl>
    <w:p>
      <w:pPr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3、每次保险事故单次住院天数调整系数：根据承保时约定的每次保险事故单次住院给付最高天数，进行划分。</w:t>
      </w:r>
    </w:p>
    <w:tbl>
      <w:tblPr>
        <w:tblStyle w:val="7"/>
        <w:tblW w:w="85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9"/>
        <w:gridCol w:w="1265"/>
        <w:gridCol w:w="1559"/>
        <w:gridCol w:w="14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42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每次保险事故单次住院天数（天）</w:t>
            </w:r>
          </w:p>
        </w:tc>
        <w:tc>
          <w:tcPr>
            <w:tcW w:w="126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(</w:t>
            </w:r>
            <w:r>
              <w:rPr>
                <w:rFonts w:ascii="宋体" w:hAnsi="宋体" w:eastAsia="宋体" w:cs="宋体"/>
                <w:szCs w:val="21"/>
                <w:lang w:eastAsia="zh-Hans"/>
              </w:rPr>
              <w:t>0,</w:t>
            </w:r>
            <w:r>
              <w:rPr>
                <w:rFonts w:ascii="宋体" w:hAnsi="宋体" w:eastAsia="宋体" w:cs="宋体"/>
                <w:szCs w:val="21"/>
              </w:rPr>
              <w:t>30</w:t>
            </w:r>
            <w:r>
              <w:rPr>
                <w:rFonts w:hint="eastAsia" w:ascii="宋体" w:hAnsi="宋体" w:eastAsia="宋体" w:cs="宋体"/>
                <w:szCs w:val="21"/>
              </w:rPr>
              <w:t>]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(30</w:t>
            </w:r>
            <w:r>
              <w:rPr>
                <w:rFonts w:hint="eastAsia" w:ascii="宋体" w:hAnsi="宋体" w:eastAsia="宋体" w:cs="宋体"/>
                <w:szCs w:val="21"/>
              </w:rPr>
              <w:t>,</w:t>
            </w:r>
            <w:r>
              <w:rPr>
                <w:rFonts w:ascii="宋体" w:hAnsi="宋体" w:eastAsia="宋体" w:cs="宋体"/>
                <w:szCs w:val="21"/>
              </w:rPr>
              <w:t>9</w:t>
            </w:r>
            <w:r>
              <w:rPr>
                <w:rFonts w:hint="eastAsia" w:ascii="宋体" w:hAnsi="宋体" w:eastAsia="宋体" w:cs="宋体"/>
                <w:szCs w:val="21"/>
              </w:rPr>
              <w:t>0]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(90</w:t>
            </w:r>
            <w:r>
              <w:rPr>
                <w:rFonts w:hint="eastAsia" w:ascii="宋体" w:hAnsi="宋体" w:eastAsia="宋体" w:cs="宋体"/>
                <w:szCs w:val="21"/>
              </w:rPr>
              <w:t>,1</w:t>
            </w:r>
            <w:r>
              <w:rPr>
                <w:rFonts w:ascii="宋体" w:hAnsi="宋体" w:eastAsia="宋体" w:cs="宋体"/>
                <w:szCs w:val="21"/>
              </w:rPr>
              <w:t>8</w:t>
            </w:r>
            <w:r>
              <w:rPr>
                <w:rFonts w:hint="eastAsia" w:ascii="宋体" w:hAnsi="宋体" w:eastAsia="宋体" w:cs="宋体"/>
                <w:szCs w:val="21"/>
              </w:rPr>
              <w:t>0]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2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调整系数</w:t>
            </w:r>
          </w:p>
        </w:tc>
        <w:tc>
          <w:tcPr>
            <w:tcW w:w="126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</w:rPr>
              <w:t>[</w:t>
            </w:r>
            <w:r>
              <w:rPr>
                <w:rFonts w:hint="eastAsia" w:ascii="宋体" w:hAnsi="宋体" w:eastAsia="宋体" w:cs="宋体"/>
                <w:szCs w:val="21"/>
              </w:rPr>
              <w:t>0.8,1.0</w:t>
            </w:r>
            <w:r>
              <w:rPr>
                <w:rFonts w:ascii="宋体" w:hAnsi="宋体" w:eastAsia="宋体" w:cs="宋体"/>
                <w:szCs w:val="21"/>
              </w:rPr>
              <w:t>]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</w:rPr>
              <w:t>(1.0</w:t>
            </w:r>
            <w:r>
              <w:rPr>
                <w:rFonts w:hint="eastAsia" w:ascii="宋体" w:hAnsi="宋体" w:eastAsia="宋体" w:cs="宋体"/>
                <w:szCs w:val="21"/>
              </w:rPr>
              <w:t>,1.</w:t>
            </w:r>
            <w:r>
              <w:rPr>
                <w:rFonts w:ascii="宋体" w:hAnsi="宋体" w:eastAsia="宋体" w:cs="宋体"/>
                <w:szCs w:val="21"/>
              </w:rPr>
              <w:t>2]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</w:rPr>
              <w:t>(1.2</w:t>
            </w:r>
            <w:r>
              <w:rPr>
                <w:rFonts w:hint="eastAsia" w:ascii="宋体" w:hAnsi="宋体" w:eastAsia="宋体" w:cs="宋体"/>
                <w:szCs w:val="21"/>
              </w:rPr>
              <w:t>,1.</w:t>
            </w:r>
            <w:r>
              <w:rPr>
                <w:rFonts w:ascii="宋体" w:hAnsi="宋体" w:eastAsia="宋体" w:cs="宋体"/>
                <w:szCs w:val="21"/>
              </w:rPr>
              <w:t>5]</w:t>
            </w:r>
          </w:p>
        </w:tc>
      </w:tr>
    </w:tbl>
    <w:p>
      <w:pPr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4、累计最高住院天数调整系数：根据承保时约定的累计给付最高天数，进行划分。</w:t>
      </w:r>
    </w:p>
    <w:tbl>
      <w:tblPr>
        <w:tblStyle w:val="7"/>
        <w:tblW w:w="85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48"/>
        <w:gridCol w:w="1276"/>
        <w:gridCol w:w="1559"/>
        <w:gridCol w:w="14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424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累计最高住院天数（天）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</w:rPr>
              <w:t>(0,3</w:t>
            </w:r>
            <w:r>
              <w:rPr>
                <w:rFonts w:hint="eastAsia" w:ascii="宋体" w:hAnsi="宋体" w:eastAsia="宋体" w:cs="宋体"/>
                <w:szCs w:val="21"/>
              </w:rPr>
              <w:t>0]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(30</w:t>
            </w:r>
            <w:r>
              <w:rPr>
                <w:rFonts w:ascii="宋体" w:hAnsi="宋体" w:eastAsia="宋体" w:cs="宋体"/>
                <w:szCs w:val="21"/>
              </w:rPr>
              <w:t>,9</w:t>
            </w:r>
            <w:r>
              <w:rPr>
                <w:rFonts w:hint="eastAsia" w:ascii="宋体" w:hAnsi="宋体" w:eastAsia="宋体" w:cs="宋体"/>
                <w:szCs w:val="21"/>
              </w:rPr>
              <w:t>0]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(90</w:t>
            </w:r>
            <w:r>
              <w:rPr>
                <w:rFonts w:hint="eastAsia" w:ascii="宋体" w:hAnsi="宋体" w:eastAsia="宋体" w:cs="宋体"/>
                <w:szCs w:val="21"/>
              </w:rPr>
              <w:t>,1</w:t>
            </w:r>
            <w:r>
              <w:rPr>
                <w:rFonts w:ascii="宋体" w:hAnsi="宋体" w:eastAsia="宋体" w:cs="宋体"/>
                <w:szCs w:val="21"/>
              </w:rPr>
              <w:t>8</w:t>
            </w:r>
            <w:r>
              <w:rPr>
                <w:rFonts w:hint="eastAsia" w:ascii="宋体" w:hAnsi="宋体" w:eastAsia="宋体" w:cs="宋体"/>
                <w:szCs w:val="21"/>
              </w:rPr>
              <w:t>0]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24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调整系数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</w:rPr>
              <w:t>[</w:t>
            </w:r>
            <w:r>
              <w:rPr>
                <w:rFonts w:hint="eastAsia" w:ascii="宋体" w:hAnsi="宋体" w:eastAsia="宋体" w:cs="宋体"/>
                <w:szCs w:val="21"/>
              </w:rPr>
              <w:t>0.8,1.</w:t>
            </w:r>
            <w:r>
              <w:rPr>
                <w:rFonts w:ascii="宋体" w:hAnsi="宋体" w:eastAsia="宋体" w:cs="宋体"/>
                <w:szCs w:val="21"/>
              </w:rPr>
              <w:t>0]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</w:rPr>
              <w:t>(1.0</w:t>
            </w:r>
            <w:r>
              <w:rPr>
                <w:rFonts w:hint="eastAsia" w:ascii="宋体" w:hAnsi="宋体" w:eastAsia="宋体" w:cs="宋体"/>
                <w:szCs w:val="21"/>
              </w:rPr>
              <w:t>,1.</w:t>
            </w:r>
            <w:r>
              <w:rPr>
                <w:rFonts w:ascii="宋体" w:hAnsi="宋体" w:eastAsia="宋体" w:cs="宋体"/>
                <w:szCs w:val="21"/>
              </w:rPr>
              <w:t>2]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</w:rPr>
              <w:t>(1.2</w:t>
            </w:r>
            <w:r>
              <w:rPr>
                <w:rFonts w:hint="eastAsia" w:ascii="宋体" w:hAnsi="宋体" w:eastAsia="宋体" w:cs="宋体"/>
                <w:szCs w:val="21"/>
              </w:rPr>
              <w:t>,1.</w:t>
            </w:r>
            <w:r>
              <w:rPr>
                <w:rFonts w:ascii="宋体" w:hAnsi="宋体" w:eastAsia="宋体" w:cs="宋体"/>
                <w:szCs w:val="21"/>
              </w:rPr>
              <w:t>5]</w:t>
            </w:r>
          </w:p>
        </w:tc>
      </w:tr>
    </w:tbl>
    <w:p>
      <w:pPr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5</w:t>
      </w:r>
      <w:r>
        <w:rPr>
          <w:rFonts w:hint="eastAsia" w:ascii="宋体" w:hAnsi="宋体" w:eastAsia="宋体" w:cs="宋体"/>
          <w:szCs w:val="21"/>
        </w:rPr>
        <w:t>、规模调整系数：根据渠道预估年度投保人数规模，进行划分。</w:t>
      </w:r>
    </w:p>
    <w:tbl>
      <w:tblPr>
        <w:tblStyle w:val="7"/>
        <w:tblW w:w="55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1"/>
        <w:gridCol w:w="277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2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年度投保人数（N人）</w:t>
            </w:r>
          </w:p>
        </w:tc>
        <w:tc>
          <w:tcPr>
            <w:tcW w:w="27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28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N&gt;20000</w:t>
            </w:r>
          </w:p>
        </w:tc>
        <w:tc>
          <w:tcPr>
            <w:tcW w:w="2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[0.6,0.7</w:t>
            </w:r>
            <w:r>
              <w:rPr>
                <w:rFonts w:ascii="宋体" w:hAnsi="宋体" w:eastAsia="宋体" w:cs="宋体"/>
                <w:szCs w:val="21"/>
                <w:lang w:bidi="ar"/>
              </w:rPr>
              <w:t>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28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10000&lt;N≤20000</w:t>
            </w:r>
          </w:p>
        </w:tc>
        <w:tc>
          <w:tcPr>
            <w:tcW w:w="2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[0.7,0.9</w:t>
            </w:r>
            <w:r>
              <w:rPr>
                <w:rFonts w:ascii="宋体" w:hAnsi="宋体" w:eastAsia="宋体" w:cs="宋体"/>
                <w:szCs w:val="21"/>
                <w:lang w:bidi="ar"/>
              </w:rPr>
              <w:t>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28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5000&lt;N≤10000</w:t>
            </w:r>
          </w:p>
        </w:tc>
        <w:tc>
          <w:tcPr>
            <w:tcW w:w="2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[0.9,1.1</w:t>
            </w:r>
            <w:r>
              <w:rPr>
                <w:rFonts w:ascii="宋体" w:hAnsi="宋体" w:eastAsia="宋体" w:cs="宋体"/>
                <w:szCs w:val="21"/>
                <w:lang w:bidi="ar"/>
              </w:rPr>
              <w:t>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28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N≤5000</w:t>
            </w:r>
          </w:p>
        </w:tc>
        <w:tc>
          <w:tcPr>
            <w:tcW w:w="2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[1.1,1.5]</w:t>
            </w:r>
          </w:p>
        </w:tc>
      </w:tr>
    </w:tbl>
    <w:p>
      <w:pPr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6</w:t>
      </w:r>
      <w:r>
        <w:rPr>
          <w:rFonts w:hint="eastAsia" w:ascii="宋体" w:hAnsi="宋体" w:eastAsia="宋体" w:cs="宋体"/>
          <w:szCs w:val="21"/>
        </w:rPr>
        <w:t>、历史赔付率调整系数：按渠道近三年赔付率情况，进行划分。</w:t>
      </w:r>
    </w:p>
    <w:tbl>
      <w:tblPr>
        <w:tblStyle w:val="7"/>
        <w:tblW w:w="46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40"/>
        <w:gridCol w:w="23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历史赔付率</w:t>
            </w:r>
          </w:p>
        </w:tc>
        <w:tc>
          <w:tcPr>
            <w:tcW w:w="23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0%-30%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</w:rPr>
              <w:t>[</w:t>
            </w:r>
            <w:r>
              <w:rPr>
                <w:rFonts w:hint="eastAsia" w:ascii="宋体" w:hAnsi="宋体" w:eastAsia="宋体" w:cs="宋体"/>
                <w:szCs w:val="21"/>
              </w:rPr>
              <w:t>0.5,0.7]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30%（不含）-50%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(0.7,0.9]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50%（不含）-80%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(0.9,1.1]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80%以上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(1.1,1.5]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无历史赔付率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1.0</w:t>
            </w:r>
          </w:p>
        </w:tc>
      </w:tr>
    </w:tbl>
    <w:p>
      <w:pPr>
        <w:spacing w:line="312" w:lineRule="auto"/>
        <w:ind w:firstLine="420" w:firstLineChars="200"/>
        <w:rPr>
          <w:rFonts w:ascii="宋体" w:hAnsi="宋体" w:eastAsia="宋体" w:cs="宋体"/>
          <w:szCs w:val="21"/>
          <w:lang w:eastAsia="zh-Hans" w:bidi="ar"/>
        </w:rPr>
      </w:pPr>
      <w:r>
        <w:rPr>
          <w:rFonts w:ascii="宋体" w:hAnsi="宋体" w:eastAsia="宋体" w:cs="宋体"/>
          <w:szCs w:val="21"/>
          <w:lang w:bidi="ar"/>
        </w:rPr>
        <w:t>7</w:t>
      </w:r>
      <w:r>
        <w:rPr>
          <w:rFonts w:hint="eastAsia" w:ascii="宋体" w:hAnsi="宋体" w:eastAsia="宋体" w:cs="宋体"/>
          <w:szCs w:val="21"/>
          <w:lang w:bidi="ar"/>
        </w:rPr>
        <w:t>、</w:t>
      </w:r>
      <w:r>
        <w:rPr>
          <w:rFonts w:ascii="宋体" w:hAnsi="宋体" w:eastAsia="宋体" w:cs="宋体"/>
          <w:szCs w:val="21"/>
          <w:lang w:bidi="ar"/>
        </w:rPr>
        <w:t>投保人数调整系数</w:t>
      </w:r>
      <w:r>
        <w:rPr>
          <w:rFonts w:hint="eastAsia" w:ascii="宋体" w:hAnsi="宋体" w:eastAsia="宋体" w:cs="宋体"/>
          <w:szCs w:val="21"/>
          <w:lang w:bidi="ar"/>
        </w:rPr>
        <w:t>：根据家庭投保人数，进行划分</w:t>
      </w:r>
      <w:r>
        <w:rPr>
          <w:rFonts w:hint="eastAsia" w:ascii="宋体" w:hAnsi="宋体" w:eastAsia="宋体" w:cs="宋体"/>
          <w:szCs w:val="21"/>
          <w:lang w:eastAsia="zh-Hans" w:bidi="ar"/>
        </w:rPr>
        <w:t>。</w:t>
      </w:r>
    </w:p>
    <w:tbl>
      <w:tblPr>
        <w:tblStyle w:val="7"/>
        <w:tblW w:w="46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80"/>
        <w:gridCol w:w="16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投保人数</w:t>
            </w:r>
          </w:p>
        </w:tc>
        <w:tc>
          <w:tcPr>
            <w:tcW w:w="1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个人投保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1.0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家庭投保2人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0.8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家庭投保3人及以上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0.7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产品不做区分</w:t>
            </w:r>
          </w:p>
        </w:tc>
        <w:tc>
          <w:tcPr>
            <w:tcW w:w="1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</w:t>
            </w:r>
            <w:r>
              <w:rPr>
                <w:rFonts w:ascii="宋体" w:hAnsi="宋体" w:eastAsia="宋体"/>
              </w:rPr>
              <w:t>.0</w:t>
            </w:r>
          </w:p>
        </w:tc>
      </w:tr>
    </w:tbl>
    <w:p>
      <w:pPr>
        <w:spacing w:line="312" w:lineRule="auto"/>
        <w:ind w:firstLine="420" w:firstLineChars="200"/>
        <w:rPr>
          <w:rFonts w:ascii="宋体" w:hAnsi="宋体" w:eastAsia="宋体" w:cs="宋体"/>
          <w:szCs w:val="21"/>
          <w:lang w:bidi="ar"/>
        </w:rPr>
      </w:pPr>
      <w:r>
        <w:rPr>
          <w:rFonts w:ascii="宋体" w:hAnsi="宋体" w:eastAsia="宋体" w:cs="宋体"/>
          <w:szCs w:val="21"/>
        </w:rPr>
        <w:t>8</w:t>
      </w:r>
      <w:r>
        <w:rPr>
          <w:rFonts w:hint="eastAsia" w:ascii="宋体" w:hAnsi="宋体" w:eastAsia="宋体" w:cs="宋体"/>
          <w:szCs w:val="21"/>
          <w:lang w:bidi="ar"/>
        </w:rPr>
        <w:t>、缴费方式调整系数：按保单约定的缴费方式，进行划分。</w:t>
      </w:r>
    </w:p>
    <w:tbl>
      <w:tblPr>
        <w:tblStyle w:val="7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46"/>
        <w:gridCol w:w="29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3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ind w:firstLine="420" w:firstLineChars="200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缴费方式</w:t>
            </w:r>
          </w:p>
        </w:tc>
        <w:tc>
          <w:tcPr>
            <w:tcW w:w="29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ind w:firstLine="420" w:firstLineChars="200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3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ind w:firstLine="420" w:firstLineChars="200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一次性缴清</w:t>
            </w:r>
          </w:p>
        </w:tc>
        <w:tc>
          <w:tcPr>
            <w:tcW w:w="29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ind w:firstLine="420" w:firstLineChars="200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1.0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3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ind w:firstLine="420" w:firstLineChars="200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按季缴费</w:t>
            </w:r>
          </w:p>
        </w:tc>
        <w:tc>
          <w:tcPr>
            <w:tcW w:w="29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ind w:firstLine="420" w:firstLineChars="200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[1.0,1.1]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3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ind w:firstLine="420" w:firstLineChars="200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按月缴费</w:t>
            </w:r>
          </w:p>
        </w:tc>
        <w:tc>
          <w:tcPr>
            <w:tcW w:w="29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ind w:firstLine="420" w:firstLineChars="200"/>
              <w:jc w:val="center"/>
              <w:rPr>
                <w:rFonts w:ascii="宋体" w:hAnsi="宋体" w:eastAsia="宋体" w:cs="宋体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[1.0,1.2]</w:t>
            </w:r>
          </w:p>
        </w:tc>
      </w:tr>
    </w:tbl>
    <w:p>
      <w:pPr>
        <w:spacing w:line="312" w:lineRule="auto"/>
        <w:ind w:firstLine="422" w:firstLineChars="200"/>
        <w:rPr>
          <w:rFonts w:ascii="宋体" w:hAnsi="宋体" w:eastAsia="宋体" w:cs="宋体"/>
          <w:b/>
          <w:color w:val="000000"/>
          <w:szCs w:val="21"/>
        </w:rPr>
      </w:pPr>
      <w:r>
        <w:rPr>
          <w:rFonts w:hint="eastAsia" w:ascii="宋体" w:hAnsi="宋体" w:eastAsia="宋体" w:cs="宋体"/>
          <w:b/>
          <w:color w:val="000000"/>
          <w:szCs w:val="21"/>
        </w:rPr>
        <w:t>四、保险费计算</w:t>
      </w:r>
    </w:p>
    <w:p>
      <w:pPr>
        <w:widowControl/>
        <w:numPr>
          <w:ilvl w:val="255"/>
          <w:numId w:val="0"/>
        </w:numPr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  <w:lang w:bidi="ar"/>
        </w:rPr>
      </w:pPr>
      <w:bookmarkStart w:id="4" w:name="_GoBack"/>
      <w:bookmarkStart w:id="0" w:name="_Hlk40970459"/>
      <w:r>
        <w:rPr>
          <w:rFonts w:hint="eastAsia" w:ascii="宋体" w:hAnsi="宋体" w:eastAsia="宋体" w:cs="宋体"/>
          <w:szCs w:val="21"/>
          <w:lang w:bidi="ar"/>
        </w:rPr>
        <w:t>1、投保人选择</w:t>
      </w:r>
      <w:bookmarkStart w:id="1" w:name="OLE_LINK5"/>
      <w:r>
        <w:rPr>
          <w:rFonts w:hint="eastAsia" w:ascii="宋体" w:hAnsi="宋体" w:eastAsia="宋体" w:cs="宋体"/>
          <w:szCs w:val="21"/>
          <w:lang w:bidi="ar"/>
        </w:rPr>
        <w:t>一次性缴付保险费</w:t>
      </w:r>
      <w:bookmarkEnd w:id="1"/>
    </w:p>
    <w:p>
      <w:pPr>
        <w:widowControl/>
        <w:numPr>
          <w:ilvl w:val="255"/>
          <w:numId w:val="0"/>
        </w:numPr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  <w:lang w:bidi="ar"/>
        </w:rPr>
      </w:pPr>
      <w:r>
        <w:rPr>
          <w:rFonts w:hint="eastAsia" w:ascii="宋体" w:hAnsi="宋体" w:eastAsia="宋体" w:cs="宋体"/>
          <w:szCs w:val="21"/>
          <w:lang w:bidi="ar"/>
        </w:rPr>
        <w:t>年保险费=住院</w:t>
      </w:r>
      <w:r>
        <w:rPr>
          <w:rFonts w:hint="eastAsia" w:ascii="宋体" w:hAnsi="宋体" w:eastAsia="宋体" w:cs="宋体"/>
          <w:color w:val="000000"/>
          <w:szCs w:val="21"/>
        </w:rPr>
        <w:t>日给付金额/</w:t>
      </w:r>
      <w:r>
        <w:rPr>
          <w:rFonts w:ascii="宋体" w:hAnsi="宋体" w:eastAsia="宋体" w:cs="宋体"/>
          <w:color w:val="000000"/>
          <w:szCs w:val="21"/>
        </w:rPr>
        <w:t>2</w:t>
      </w:r>
      <w:r>
        <w:rPr>
          <w:rFonts w:hint="eastAsia" w:ascii="宋体" w:hAnsi="宋体" w:eastAsia="宋体" w:cs="宋体"/>
          <w:color w:val="000000"/>
          <w:szCs w:val="21"/>
        </w:rPr>
        <w:t>00</w:t>
      </w:r>
      <w:r>
        <w:rPr>
          <w:rFonts w:ascii="宋体" w:hAnsi="宋体" w:eastAsia="宋体" w:cs="宋体"/>
          <w:bCs/>
          <w:szCs w:val="21"/>
        </w:rPr>
        <w:t>×</w:t>
      </w:r>
      <w:r>
        <w:rPr>
          <w:rFonts w:hint="eastAsia" w:ascii="宋体" w:hAnsi="宋体" w:eastAsia="宋体" w:cs="宋体"/>
          <w:szCs w:val="21"/>
          <w:lang w:bidi="ar"/>
        </w:rPr>
        <w:t>年基准保</w:t>
      </w:r>
      <w:r>
        <w:rPr>
          <w:rFonts w:hint="eastAsia" w:ascii="宋体" w:hAnsi="宋体" w:eastAsia="宋体" w:cs="宋体"/>
          <w:color w:val="000000"/>
          <w:szCs w:val="21"/>
        </w:rPr>
        <w:t>险</w:t>
      </w:r>
      <w:r>
        <w:rPr>
          <w:rFonts w:hint="eastAsia" w:ascii="宋体" w:hAnsi="宋体" w:eastAsia="宋体" w:cs="宋体"/>
          <w:szCs w:val="21"/>
          <w:lang w:bidi="ar"/>
        </w:rPr>
        <w:t>费</w:t>
      </w:r>
      <w:bookmarkStart w:id="2" w:name="_Hlk82708614"/>
      <w:r>
        <w:rPr>
          <w:rFonts w:hint="eastAsia" w:ascii="宋体" w:hAnsi="宋体" w:eastAsia="宋体" w:cs="宋体"/>
          <w:szCs w:val="21"/>
          <w:lang w:bidi="ar"/>
        </w:rPr>
        <w:t>×住院日给付金额调整系数</w:t>
      </w:r>
      <w:r>
        <w:rPr>
          <w:rFonts w:hint="eastAsia" w:ascii="宋体" w:hAnsi="宋体" w:eastAsia="宋体" w:cs="宋体"/>
          <w:color w:val="000000"/>
          <w:szCs w:val="21"/>
        </w:rPr>
        <w:t>×</w:t>
      </w:r>
      <w:r>
        <w:rPr>
          <w:rFonts w:hint="eastAsia" w:ascii="宋体" w:hAnsi="宋体" w:eastAsia="宋体" w:cs="宋体"/>
          <w:szCs w:val="21"/>
        </w:rPr>
        <w:t>每次住院免赔天数调整系数×每次保险事故单次住院天数调整系数×累计最高住院天数调整系数</w:t>
      </w:r>
      <w:r>
        <w:rPr>
          <w:rFonts w:hint="eastAsia" w:ascii="宋体" w:hAnsi="宋体" w:eastAsia="宋体" w:cs="宋体"/>
          <w:color w:val="000000"/>
          <w:szCs w:val="21"/>
        </w:rPr>
        <w:t>×规模调整系数×历史赔付率调整系数×投保人数调整系数</w:t>
      </w:r>
      <w:r>
        <w:rPr>
          <w:rFonts w:ascii="宋体" w:hAnsi="宋体" w:eastAsia="宋体" w:cs="宋体"/>
          <w:bCs/>
          <w:szCs w:val="21"/>
        </w:rPr>
        <w:t>×</w:t>
      </w:r>
      <w:r>
        <w:rPr>
          <w:rFonts w:hint="eastAsia" w:ascii="宋体" w:hAnsi="宋体" w:eastAsia="宋体" w:cs="宋体"/>
          <w:szCs w:val="21"/>
          <w:lang w:bidi="ar"/>
        </w:rPr>
        <w:t>缴费方式调整系数</w:t>
      </w:r>
    </w:p>
    <w:bookmarkEnd w:id="0"/>
    <w:bookmarkEnd w:id="2"/>
    <w:p>
      <w:pPr>
        <w:widowControl/>
        <w:numPr>
          <w:ilvl w:val="255"/>
          <w:numId w:val="0"/>
        </w:numPr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  <w:lang w:bidi="ar"/>
        </w:rPr>
      </w:pPr>
      <w:bookmarkStart w:id="3" w:name="OLE_LINK1"/>
      <w:r>
        <w:rPr>
          <w:rFonts w:hint="eastAsia" w:ascii="宋体" w:hAnsi="宋体" w:eastAsia="宋体" w:cs="宋体"/>
          <w:szCs w:val="21"/>
          <w:lang w:bidi="ar"/>
        </w:rPr>
        <w:t>2、投保人选择分期缴付保险费，保险人根据保险费分期缴费期数，计收每期保险费：</w:t>
      </w:r>
    </w:p>
    <w:bookmarkEnd w:id="3"/>
    <w:p>
      <w:pPr>
        <w:widowControl/>
        <w:numPr>
          <w:ilvl w:val="255"/>
          <w:numId w:val="0"/>
        </w:numPr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  <w:lang w:bidi="ar"/>
        </w:rPr>
      </w:pPr>
      <w:r>
        <w:rPr>
          <w:rFonts w:hint="eastAsia" w:ascii="宋体" w:hAnsi="宋体" w:eastAsia="宋体" w:cs="宋体"/>
          <w:szCs w:val="21"/>
          <w:lang w:bidi="ar"/>
        </w:rPr>
        <w:t>年保险费=住院</w:t>
      </w:r>
      <w:r>
        <w:rPr>
          <w:rFonts w:hint="eastAsia" w:ascii="宋体" w:hAnsi="宋体" w:eastAsia="宋体" w:cs="宋体"/>
          <w:color w:val="000000"/>
          <w:szCs w:val="21"/>
        </w:rPr>
        <w:t>日给付金额/</w:t>
      </w:r>
      <w:r>
        <w:rPr>
          <w:rFonts w:ascii="宋体" w:hAnsi="宋体" w:eastAsia="宋体" w:cs="宋体"/>
          <w:color w:val="000000"/>
          <w:szCs w:val="21"/>
        </w:rPr>
        <w:t>2</w:t>
      </w:r>
      <w:r>
        <w:rPr>
          <w:rFonts w:hint="eastAsia" w:ascii="宋体" w:hAnsi="宋体" w:eastAsia="宋体" w:cs="宋体"/>
          <w:color w:val="000000"/>
          <w:szCs w:val="21"/>
        </w:rPr>
        <w:t>00</w:t>
      </w:r>
      <w:r>
        <w:rPr>
          <w:rFonts w:ascii="宋体" w:hAnsi="宋体" w:eastAsia="宋体" w:cs="宋体"/>
          <w:bCs/>
          <w:szCs w:val="21"/>
        </w:rPr>
        <w:t>×</w:t>
      </w:r>
      <w:r>
        <w:rPr>
          <w:rFonts w:hint="eastAsia" w:ascii="宋体" w:hAnsi="宋体" w:eastAsia="宋体" w:cs="宋体"/>
          <w:szCs w:val="21"/>
          <w:lang w:bidi="ar"/>
        </w:rPr>
        <w:t>年基准保</w:t>
      </w:r>
      <w:r>
        <w:rPr>
          <w:rFonts w:hint="eastAsia" w:ascii="宋体" w:hAnsi="宋体" w:eastAsia="宋体" w:cs="宋体"/>
          <w:color w:val="000000"/>
          <w:szCs w:val="21"/>
        </w:rPr>
        <w:t>险</w:t>
      </w:r>
      <w:r>
        <w:rPr>
          <w:rFonts w:hint="eastAsia" w:ascii="宋体" w:hAnsi="宋体" w:eastAsia="宋体" w:cs="宋体"/>
          <w:szCs w:val="21"/>
          <w:lang w:bidi="ar"/>
        </w:rPr>
        <w:t>费×住院日给付金额调整系数</w:t>
      </w:r>
      <w:r>
        <w:rPr>
          <w:rFonts w:hint="eastAsia" w:ascii="宋体" w:hAnsi="宋体" w:eastAsia="宋体" w:cs="宋体"/>
          <w:color w:val="000000"/>
          <w:szCs w:val="21"/>
        </w:rPr>
        <w:t>×</w:t>
      </w:r>
      <w:r>
        <w:rPr>
          <w:rFonts w:hint="eastAsia" w:ascii="宋体" w:hAnsi="宋体" w:eastAsia="宋体" w:cs="宋体"/>
          <w:szCs w:val="21"/>
        </w:rPr>
        <w:t>每次住院免赔天数调整系数×每次保险事故单次住院天数调整系数×累计最高住院天数调整系数</w:t>
      </w:r>
      <w:r>
        <w:rPr>
          <w:rFonts w:hint="eastAsia" w:ascii="宋体" w:hAnsi="宋体" w:eastAsia="宋体" w:cs="宋体"/>
          <w:color w:val="000000"/>
          <w:szCs w:val="21"/>
        </w:rPr>
        <w:t>×规模调整系数×历史赔付率调整系数×投保人数调整系数</w:t>
      </w:r>
      <w:r>
        <w:rPr>
          <w:rFonts w:ascii="宋体" w:hAnsi="宋体" w:eastAsia="宋体" w:cs="宋体"/>
          <w:bCs/>
          <w:szCs w:val="21"/>
        </w:rPr>
        <w:t>×</w:t>
      </w:r>
      <w:r>
        <w:rPr>
          <w:rFonts w:hint="eastAsia" w:ascii="宋体" w:hAnsi="宋体" w:eastAsia="宋体" w:cs="宋体"/>
          <w:szCs w:val="21"/>
          <w:lang w:bidi="ar"/>
        </w:rPr>
        <w:t>缴费方式调整系数</w:t>
      </w:r>
    </w:p>
    <w:p>
      <w:pPr>
        <w:widowControl/>
        <w:numPr>
          <w:ilvl w:val="255"/>
          <w:numId w:val="0"/>
        </w:numPr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  <w:lang w:bidi="ar"/>
        </w:rPr>
      </w:pPr>
      <w:r>
        <w:rPr>
          <w:rFonts w:hint="eastAsia" w:ascii="宋体" w:hAnsi="宋体" w:eastAsia="宋体" w:cs="宋体"/>
          <w:szCs w:val="21"/>
          <w:lang w:bidi="ar"/>
        </w:rPr>
        <w:t>每期保险费（按四舍五入计算）=年保险费÷分期缴费期数</w:t>
      </w:r>
    </w:p>
    <w:p>
      <w:pPr>
        <w:widowControl/>
        <w:numPr>
          <w:ilvl w:val="255"/>
          <w:numId w:val="0"/>
        </w:numPr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  <w:lang w:bidi="ar"/>
        </w:rPr>
      </w:pPr>
      <w:r>
        <w:rPr>
          <w:rFonts w:hint="eastAsia" w:ascii="宋体" w:hAnsi="宋体" w:eastAsia="宋体" w:cs="宋体"/>
          <w:szCs w:val="21"/>
          <w:lang w:bidi="ar"/>
        </w:rPr>
        <w:t>注：本产品涉及分期缴费，每期缴费金额一致。</w:t>
      </w:r>
    </w:p>
    <w:bookmarkEnd w:id="4"/>
    <w:p>
      <w:pPr>
        <w:spacing w:line="360" w:lineRule="auto"/>
        <w:ind w:firstLine="422" w:firstLineChars="200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五、</w:t>
      </w:r>
      <w:r>
        <w:rPr>
          <w:rFonts w:hint="eastAsia" w:ascii="宋体" w:hAnsi="宋体" w:eastAsia="宋体" w:cs="Arial"/>
          <w:b/>
          <w:bCs/>
          <w:szCs w:val="21"/>
        </w:rPr>
        <w:t>短期</w:t>
      </w:r>
      <w:r>
        <w:rPr>
          <w:rFonts w:hint="eastAsia" w:ascii="宋体" w:hAnsi="宋体" w:eastAsia="宋体"/>
          <w:b/>
        </w:rPr>
        <w:t>费率表</w:t>
      </w:r>
    </w:p>
    <w:p>
      <w:pPr>
        <w:snapToGrid w:val="0"/>
        <w:spacing w:line="288" w:lineRule="auto"/>
        <w:ind w:firstLine="482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保险期间不足一年的，按以下标准计算短期保险费（按年保险费的百分比计算，不足一个月的按一个月计算）：</w:t>
      </w:r>
    </w:p>
    <w:tbl>
      <w:tblPr>
        <w:tblStyle w:val="7"/>
        <w:tblW w:w="94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5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7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保险期间（月）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3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4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5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6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7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8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9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10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11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年保险费的百分比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30%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40%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50%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60%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70%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80%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85%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90%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95%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100%</w:t>
            </w:r>
          </w:p>
        </w:tc>
      </w:tr>
    </w:tbl>
    <w:p>
      <w:pPr>
        <w:spacing w:line="288" w:lineRule="auto"/>
        <w:ind w:firstLine="420" w:firstLineChars="200"/>
        <w:jc w:val="left"/>
        <w:rPr>
          <w:rFonts w:ascii="宋体" w:hAnsi="宋体" w:eastAsia="宋体" w:cs="宋体"/>
          <w:bCs/>
          <w:szCs w:val="21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xOTg0ZTg2NjA3ZGU0MTY2MmU0Yjk5YzMyNzRlOGMifQ=="/>
  </w:docVars>
  <w:rsids>
    <w:rsidRoot w:val="00F627F0"/>
    <w:rsid w:val="00031F29"/>
    <w:rsid w:val="000C4B7C"/>
    <w:rsid w:val="000E0AF6"/>
    <w:rsid w:val="000E2D4A"/>
    <w:rsid w:val="001373FC"/>
    <w:rsid w:val="00163877"/>
    <w:rsid w:val="00165AE1"/>
    <w:rsid w:val="00193766"/>
    <w:rsid w:val="001E1D71"/>
    <w:rsid w:val="00226E2A"/>
    <w:rsid w:val="002B1BE4"/>
    <w:rsid w:val="00393220"/>
    <w:rsid w:val="003A46FD"/>
    <w:rsid w:val="003F4393"/>
    <w:rsid w:val="00443EF1"/>
    <w:rsid w:val="004557E2"/>
    <w:rsid w:val="004619D7"/>
    <w:rsid w:val="00520D91"/>
    <w:rsid w:val="00583457"/>
    <w:rsid w:val="00673EBA"/>
    <w:rsid w:val="0069433B"/>
    <w:rsid w:val="006A368C"/>
    <w:rsid w:val="006B2D5D"/>
    <w:rsid w:val="006E34FE"/>
    <w:rsid w:val="006E3F0C"/>
    <w:rsid w:val="00702841"/>
    <w:rsid w:val="00702F75"/>
    <w:rsid w:val="007D3AA6"/>
    <w:rsid w:val="007D662B"/>
    <w:rsid w:val="007E6489"/>
    <w:rsid w:val="008E4C77"/>
    <w:rsid w:val="00900F85"/>
    <w:rsid w:val="00907BDA"/>
    <w:rsid w:val="0091507C"/>
    <w:rsid w:val="009176E0"/>
    <w:rsid w:val="00952BAA"/>
    <w:rsid w:val="00957120"/>
    <w:rsid w:val="009D6850"/>
    <w:rsid w:val="00A00ECD"/>
    <w:rsid w:val="00AA7B60"/>
    <w:rsid w:val="00AB5814"/>
    <w:rsid w:val="00AE7EFF"/>
    <w:rsid w:val="00B8086F"/>
    <w:rsid w:val="00C1575A"/>
    <w:rsid w:val="00C5200C"/>
    <w:rsid w:val="00CA3CBD"/>
    <w:rsid w:val="00CA585B"/>
    <w:rsid w:val="00CA766C"/>
    <w:rsid w:val="00CE1BC2"/>
    <w:rsid w:val="00CF2638"/>
    <w:rsid w:val="00D07E2E"/>
    <w:rsid w:val="00ED7138"/>
    <w:rsid w:val="00EE0763"/>
    <w:rsid w:val="00F627F0"/>
    <w:rsid w:val="00F64ED6"/>
    <w:rsid w:val="00FC1D96"/>
    <w:rsid w:val="00FD15DC"/>
    <w:rsid w:val="073836D3"/>
    <w:rsid w:val="08202009"/>
    <w:rsid w:val="08551B1B"/>
    <w:rsid w:val="0ACE208D"/>
    <w:rsid w:val="0B1C036E"/>
    <w:rsid w:val="0C1E36B4"/>
    <w:rsid w:val="0D75659A"/>
    <w:rsid w:val="0D9F1DE3"/>
    <w:rsid w:val="10433815"/>
    <w:rsid w:val="11704C94"/>
    <w:rsid w:val="13B804FB"/>
    <w:rsid w:val="148D1503"/>
    <w:rsid w:val="158B5D48"/>
    <w:rsid w:val="16664EBF"/>
    <w:rsid w:val="17780F8F"/>
    <w:rsid w:val="17CA1CD8"/>
    <w:rsid w:val="17DD031F"/>
    <w:rsid w:val="188F3F06"/>
    <w:rsid w:val="189A7385"/>
    <w:rsid w:val="19B00952"/>
    <w:rsid w:val="1F14355E"/>
    <w:rsid w:val="2A535ECA"/>
    <w:rsid w:val="30AA5612"/>
    <w:rsid w:val="36462EB7"/>
    <w:rsid w:val="370F28D4"/>
    <w:rsid w:val="375B7EB3"/>
    <w:rsid w:val="3B7F5CD5"/>
    <w:rsid w:val="3BAA6DE9"/>
    <w:rsid w:val="3F0B5BDF"/>
    <w:rsid w:val="4A381310"/>
    <w:rsid w:val="4A977557"/>
    <w:rsid w:val="4CD71372"/>
    <w:rsid w:val="4FB47F59"/>
    <w:rsid w:val="51494826"/>
    <w:rsid w:val="521F5665"/>
    <w:rsid w:val="54F2400D"/>
    <w:rsid w:val="55492ECC"/>
    <w:rsid w:val="5B9A751C"/>
    <w:rsid w:val="5B9D2CA7"/>
    <w:rsid w:val="61F17C42"/>
    <w:rsid w:val="62E017D5"/>
    <w:rsid w:val="65FD2C93"/>
    <w:rsid w:val="685F3C71"/>
    <w:rsid w:val="71E42FFD"/>
    <w:rsid w:val="72D93389"/>
    <w:rsid w:val="739C1D3D"/>
    <w:rsid w:val="755D1ECB"/>
    <w:rsid w:val="76905AF7"/>
    <w:rsid w:val="76B973FB"/>
    <w:rsid w:val="7888647C"/>
    <w:rsid w:val="792D0E27"/>
    <w:rsid w:val="7CF97BD3"/>
    <w:rsid w:val="7EC26C0D"/>
    <w:rsid w:val="7F97D2A1"/>
    <w:rsid w:val="C5FFF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unhideWhenUsed/>
    <w:qFormat/>
    <w:uiPriority w:val="99"/>
    <w:pPr>
      <w:jc w:val="left"/>
    </w:pPr>
  </w:style>
  <w:style w:type="paragraph" w:styleId="3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unhideWhenUsed/>
    <w:qFormat/>
    <w:uiPriority w:val="99"/>
    <w:rPr>
      <w:b/>
      <w:bCs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annotation reference"/>
    <w:basedOn w:val="9"/>
    <w:unhideWhenUsed/>
    <w:qFormat/>
    <w:uiPriority w:val="99"/>
    <w:rPr>
      <w:sz w:val="21"/>
      <w:szCs w:val="21"/>
    </w:rPr>
  </w:style>
  <w:style w:type="character" w:customStyle="1" w:styleId="11">
    <w:name w:val="批注框文本 Char"/>
    <w:basedOn w:val="9"/>
    <w:link w:val="3"/>
    <w:semiHidden/>
    <w:qFormat/>
    <w:uiPriority w:val="99"/>
    <w:rPr>
      <w:sz w:val="18"/>
      <w:szCs w:val="18"/>
    </w:rPr>
  </w:style>
  <w:style w:type="character" w:customStyle="1" w:styleId="12">
    <w:name w:val="页眉 Char"/>
    <w:basedOn w:val="9"/>
    <w:link w:val="5"/>
    <w:qFormat/>
    <w:uiPriority w:val="99"/>
    <w:rPr>
      <w:sz w:val="18"/>
      <w:szCs w:val="18"/>
    </w:rPr>
  </w:style>
  <w:style w:type="character" w:customStyle="1" w:styleId="13">
    <w:name w:val="页脚 Char"/>
    <w:basedOn w:val="9"/>
    <w:link w:val="4"/>
    <w:qFormat/>
    <w:uiPriority w:val="99"/>
    <w:rPr>
      <w:sz w:val="18"/>
      <w:szCs w:val="18"/>
    </w:rPr>
  </w:style>
  <w:style w:type="character" w:customStyle="1" w:styleId="14">
    <w:name w:val="批注文字 Char"/>
    <w:basedOn w:val="9"/>
    <w:link w:val="2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15">
    <w:name w:val="批注主题 Char"/>
    <w:basedOn w:val="14"/>
    <w:link w:val="6"/>
    <w:semiHidden/>
    <w:qFormat/>
    <w:uiPriority w:val="99"/>
    <w:rPr>
      <w:rFonts w:asciiTheme="minorHAnsi" w:hAnsiTheme="minorHAnsi" w:eastAsiaTheme="minorEastAsia" w:cstheme="minorBidi"/>
      <w:b/>
      <w:bCs/>
      <w:kern w:val="2"/>
      <w:sz w:val="21"/>
      <w:szCs w:val="22"/>
    </w:rPr>
  </w:style>
  <w:style w:type="paragraph" w:customStyle="1" w:styleId="16">
    <w:name w:val="修订1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7">
    <w:name w:val="列表段落1"/>
    <w:basedOn w:val="1"/>
    <w:qFormat/>
    <w:uiPriority w:val="34"/>
    <w:pPr>
      <w:ind w:firstLine="420" w:firstLineChars="200"/>
    </w:pPr>
  </w:style>
  <w:style w:type="paragraph" w:customStyle="1" w:styleId="18">
    <w:name w:val="修订2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9">
    <w:name w:val="修订3"/>
    <w:hidden/>
    <w:semiHidden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1100</Words>
  <Characters>1545</Characters>
  <Lines>13</Lines>
  <Paragraphs>3</Paragraphs>
  <TotalTime>211</TotalTime>
  <ScaleCrop>false</ScaleCrop>
  <LinksUpToDate>false</LinksUpToDate>
  <CharactersWithSpaces>1547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2020-02-18T19:53:00Z</dcterms:created>
  <dc:creator>林男 曹</dc:creator>
  <cp:lastModifiedBy>Zixuan Shen</cp:lastModifiedBy>
  <dcterms:modified xsi:type="dcterms:W3CDTF">2022-10-11T02:47:07Z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1986E0D82C794A37BBCB7E9EEC6D830C</vt:lpwstr>
  </property>
</Properties>
</file>