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华农财产保险股份有限公司</w:t>
      </w:r>
    </w:p>
    <w:p>
      <w:pPr>
        <w:pStyle w:val="13"/>
        <w:autoSpaceDE w:val="0"/>
        <w:autoSpaceDN w:val="0"/>
        <w:adjustRightInd w:val="0"/>
        <w:spacing w:line="360" w:lineRule="auto"/>
        <w:ind w:firstLine="0" w:firstLineChars="0"/>
        <w:jc w:val="center"/>
        <w:rPr>
          <w:rFonts w:ascii="宋体" w:hAnsi="宋体" w:cs="宋体"/>
          <w:b/>
          <w:kern w:val="0"/>
          <w:szCs w:val="21"/>
        </w:rPr>
      </w:pPr>
      <w:r>
        <w:rPr>
          <w:rFonts w:hint="eastAsia" w:asciiTheme="majorEastAsia" w:hAnsiTheme="majorEastAsia" w:eastAsiaTheme="majorEastAsia" w:cstheme="majorEastAsia"/>
          <w:b/>
          <w:bCs/>
          <w:sz w:val="28"/>
          <w:szCs w:val="28"/>
        </w:rPr>
        <w:t xml:space="preserve">附加乳腺恶性肿瘤复发特种药品费用医疗保险B款条款（互联网专属）  </w:t>
      </w:r>
    </w:p>
    <w:p>
      <w:pPr>
        <w:pStyle w:val="13"/>
        <w:keepNext w:val="0"/>
        <w:keepLines w:val="0"/>
        <w:pageBreakBefore w:val="0"/>
        <w:widowControl w:val="0"/>
        <w:kinsoku/>
        <w:wordWrap/>
        <w:overflowPunct/>
        <w:topLinePunct w:val="0"/>
        <w:autoSpaceDE w:val="0"/>
        <w:autoSpaceDN w:val="0"/>
        <w:bidi w:val="0"/>
        <w:adjustRightInd w:val="0"/>
        <w:snapToGrid/>
        <w:spacing w:before="156" w:beforeLines="50"/>
        <w:ind w:firstLine="0" w:firstLineChars="0"/>
        <w:jc w:val="center"/>
        <w:textAlignment w:val="auto"/>
        <w:rPr>
          <w:rFonts w:hint="default" w:ascii="宋体" w:hAnsi="宋体" w:cs="宋体"/>
          <w:b/>
          <w:kern w:val="0"/>
          <w:szCs w:val="21"/>
          <w:lang w:val="en-US" w:eastAsia="zh-CN"/>
        </w:rPr>
      </w:pPr>
      <w:r>
        <w:rPr>
          <w:rFonts w:hint="eastAsia" w:ascii="宋体" w:hAnsi="宋体" w:cs="宋体"/>
          <w:b/>
          <w:kern w:val="0"/>
          <w:szCs w:val="21"/>
          <w:lang w:val="en-US" w:eastAsia="zh-CN"/>
        </w:rPr>
        <w:t>注册编号</w:t>
      </w:r>
      <w:bookmarkStart w:id="2" w:name="_GoBack"/>
      <w:r>
        <w:rPr>
          <w:rFonts w:hint="eastAsia" w:ascii="宋体" w:hAnsi="宋体" w:cs="宋体"/>
          <w:b/>
          <w:kern w:val="0"/>
          <w:szCs w:val="21"/>
          <w:lang w:val="en-US" w:eastAsia="zh-CN"/>
        </w:rPr>
        <w:t>：C00010132522023101367521</w:t>
      </w:r>
    </w:p>
    <w:bookmarkEnd w:id="2"/>
    <w:p>
      <w:pPr>
        <w:pStyle w:val="13"/>
        <w:keepNext w:val="0"/>
        <w:keepLines w:val="0"/>
        <w:pageBreakBefore w:val="0"/>
        <w:widowControl w:val="0"/>
        <w:kinsoku/>
        <w:wordWrap/>
        <w:overflowPunct/>
        <w:topLinePunct w:val="0"/>
        <w:autoSpaceDE w:val="0"/>
        <w:autoSpaceDN w:val="0"/>
        <w:bidi w:val="0"/>
        <w:adjustRightInd w:val="0"/>
        <w:snapToGrid/>
        <w:spacing w:before="156" w:beforeLines="50"/>
        <w:ind w:firstLine="0" w:firstLineChars="0"/>
        <w:jc w:val="center"/>
        <w:textAlignment w:val="auto"/>
        <w:rPr>
          <w:rFonts w:ascii="宋体" w:hAnsi="宋体" w:cs="宋体"/>
          <w:b/>
          <w:kern w:val="0"/>
          <w:szCs w:val="21"/>
        </w:rPr>
      </w:pPr>
      <w:r>
        <w:rPr>
          <w:rFonts w:hint="eastAsia" w:ascii="宋体" w:hAnsi="宋体" w:cs="宋体"/>
          <w:b/>
          <w:kern w:val="0"/>
          <w:szCs w:val="21"/>
        </w:rPr>
        <w:t>总则</w:t>
      </w:r>
    </w:p>
    <w:p>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422"/>
        <w:jc w:val="left"/>
        <w:textAlignment w:val="auto"/>
        <w:rPr>
          <w:rFonts w:asciiTheme="minorEastAsia" w:hAnsiTheme="minorEastAsia" w:cstheme="minorEastAsia"/>
          <w:szCs w:val="21"/>
        </w:rPr>
      </w:pPr>
      <w:r>
        <w:rPr>
          <w:rFonts w:hint="eastAsia" w:asciiTheme="minorEastAsia" w:hAnsiTheme="minorEastAsia" w:cstheme="minorEastAsia"/>
          <w:b/>
          <w:bCs/>
          <w:szCs w:val="21"/>
        </w:rPr>
        <w:t>第一条</w:t>
      </w:r>
      <w:r>
        <w:rPr>
          <w:rFonts w:hint="eastAsia" w:asciiTheme="minorEastAsia" w:hAnsiTheme="minorEastAsia" w:cstheme="minorEastAsia"/>
          <w:szCs w:val="21"/>
        </w:rPr>
        <w:t xml:space="preserve"> 本附加险合同可附加于华农财产保险股份有限公司互联网专属的乳腺恶性肿瘤复发健康险类保险合同（以下简称“主险合同”）上。在投保主险合同的基础上，投保人可以投保本附加险。凡涉及本附加险合同的约定，均应采用书面形式。</w:t>
      </w:r>
    </w:p>
    <w:p>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422"/>
        <w:jc w:val="left"/>
        <w:textAlignment w:val="auto"/>
        <w:rPr>
          <w:rFonts w:asciiTheme="minorEastAsia" w:hAnsiTheme="minorEastAsia" w:cstheme="minorEastAsia"/>
          <w:b/>
          <w:szCs w:val="21"/>
        </w:rPr>
      </w:pPr>
      <w:r>
        <w:rPr>
          <w:rFonts w:hint="eastAsia" w:asciiTheme="minorEastAsia" w:hAnsiTheme="minorEastAsia" w:cstheme="minorEastAsia"/>
          <w:b/>
          <w:szCs w:val="21"/>
        </w:rPr>
        <w:t>本附加险合同作为主险合同的组成部分，主险合同效力终止，本附加险合同效力亦同时终止；主险合同无效，本附加险合同亦无效。本附加险合同与主险合同相抵触之处，以本附加险合同为准，本附加险合同未约定事项，以主险合同为准。</w:t>
      </w:r>
    </w:p>
    <w:p>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422"/>
        <w:jc w:val="left"/>
        <w:textAlignment w:val="auto"/>
        <w:rPr>
          <w:rFonts w:asciiTheme="minorEastAsia" w:hAnsiTheme="minorEastAsia" w:cstheme="minorEastAsia"/>
        </w:rPr>
      </w:pPr>
      <w:r>
        <w:rPr>
          <w:rFonts w:hint="eastAsia" w:asciiTheme="minorEastAsia" w:hAnsiTheme="minorEastAsia" w:cstheme="minorEastAsia"/>
          <w:b/>
          <w:bCs/>
          <w:szCs w:val="21"/>
        </w:rPr>
        <w:t>第二条</w:t>
      </w:r>
      <w:r>
        <w:rPr>
          <w:rFonts w:hint="eastAsia" w:asciiTheme="minorEastAsia" w:hAnsiTheme="minorEastAsia" w:cstheme="minorEastAsia"/>
          <w:szCs w:val="21"/>
        </w:rPr>
        <w:t xml:space="preserve"> </w:t>
      </w:r>
      <w:r>
        <w:rPr>
          <w:rFonts w:hint="eastAsia" w:asciiTheme="minorEastAsia" w:hAnsiTheme="minorEastAsia" w:cstheme="minorEastAsia"/>
        </w:rPr>
        <w:t>本附加险合同的投保人为主险合同的投保人。</w:t>
      </w:r>
    </w:p>
    <w:p>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422"/>
        <w:jc w:val="left"/>
        <w:textAlignment w:val="auto"/>
        <w:rPr>
          <w:rFonts w:asciiTheme="minorEastAsia" w:hAnsiTheme="minorEastAsia" w:cstheme="minorEastAsia"/>
          <w:color w:val="000000"/>
          <w:szCs w:val="21"/>
        </w:rPr>
      </w:pPr>
      <w:r>
        <w:rPr>
          <w:rFonts w:hint="eastAsia" w:asciiTheme="minorEastAsia" w:hAnsiTheme="minorEastAsia" w:cstheme="minorEastAsia"/>
          <w:b/>
          <w:bCs/>
          <w:szCs w:val="21"/>
        </w:rPr>
        <w:t>第三条</w:t>
      </w:r>
      <w:r>
        <w:rPr>
          <w:rFonts w:hint="eastAsia" w:asciiTheme="minorEastAsia" w:hAnsiTheme="minorEastAsia" w:cstheme="minorEastAsia"/>
          <w:szCs w:val="21"/>
        </w:rPr>
        <w:t xml:space="preserve"> </w:t>
      </w:r>
      <w:r>
        <w:rPr>
          <w:rFonts w:hint="eastAsia" w:asciiTheme="minorEastAsia" w:hAnsiTheme="minorEastAsia" w:cstheme="minorEastAsia"/>
          <w:color w:val="000000"/>
          <w:szCs w:val="21"/>
        </w:rPr>
        <w:t>本附加险合同的被保险人为主险合同的被保险人。</w:t>
      </w:r>
      <w:bookmarkStart w:id="0" w:name="OLE_LINK1"/>
    </w:p>
    <w:p>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422"/>
        <w:jc w:val="left"/>
        <w:textAlignment w:val="auto"/>
        <w:rPr>
          <w:rFonts w:asciiTheme="minorEastAsia" w:hAnsiTheme="minorEastAsia" w:cstheme="minorEastAsia"/>
          <w:b/>
          <w:szCs w:val="21"/>
        </w:rPr>
      </w:pPr>
      <w:r>
        <w:rPr>
          <w:rFonts w:hint="eastAsia" w:asciiTheme="minorEastAsia" w:hAnsiTheme="minorEastAsia" w:cstheme="minorEastAsia"/>
          <w:b/>
          <w:bCs/>
          <w:szCs w:val="21"/>
        </w:rPr>
        <w:t>第四条</w:t>
      </w:r>
      <w:r>
        <w:rPr>
          <w:rFonts w:hint="eastAsia" w:asciiTheme="minorEastAsia" w:hAnsiTheme="minorEastAsia" w:cstheme="minorEastAsia"/>
          <w:szCs w:val="21"/>
        </w:rPr>
        <w:t xml:space="preserve"> </w:t>
      </w:r>
      <w:bookmarkEnd w:id="0"/>
      <w:r>
        <w:rPr>
          <w:rFonts w:hint="eastAsia" w:asciiTheme="minorEastAsia" w:hAnsiTheme="minorEastAsia" w:cstheme="minorEastAsia"/>
        </w:rPr>
        <w:t>除本附加险合同另有约定外，本附加险合同保险金的受益人为被保险人本人。</w:t>
      </w:r>
    </w:p>
    <w:p>
      <w:pPr>
        <w:pStyle w:val="13"/>
        <w:autoSpaceDE w:val="0"/>
        <w:autoSpaceDN w:val="0"/>
        <w:adjustRightInd w:val="0"/>
        <w:spacing w:before="156" w:beforeLines="50"/>
        <w:ind w:firstLine="0" w:firstLineChars="0"/>
        <w:jc w:val="center"/>
        <w:rPr>
          <w:rFonts w:ascii="宋体" w:hAnsi="宋体" w:eastAsia="宋体" w:cs="宋体"/>
          <w:b/>
          <w:bCs/>
          <w:szCs w:val="21"/>
        </w:rPr>
      </w:pPr>
      <w:r>
        <w:rPr>
          <w:rFonts w:hint="eastAsia" w:ascii="宋体" w:hAnsi="宋体" w:eastAsia="宋体" w:cs="宋体"/>
          <w:b/>
          <w:bCs/>
          <w:szCs w:val="21"/>
        </w:rPr>
        <w:t>保险责任</w:t>
      </w:r>
    </w:p>
    <w:p>
      <w:pPr>
        <w:pStyle w:val="13"/>
        <w:keepNext w:val="0"/>
        <w:keepLines w:val="0"/>
        <w:pageBreakBefore w:val="0"/>
        <w:widowControl w:val="0"/>
        <w:kinsoku/>
        <w:wordWrap/>
        <w:overflowPunct/>
        <w:topLinePunct w:val="0"/>
        <w:autoSpaceDE w:val="0"/>
        <w:autoSpaceDN w:val="0"/>
        <w:bidi w:val="0"/>
        <w:adjustRightInd w:val="0"/>
        <w:spacing w:line="360" w:lineRule="auto"/>
        <w:ind w:firstLine="422"/>
        <w:jc w:val="left"/>
        <w:textAlignment w:val="auto"/>
        <w:rPr>
          <w:rFonts w:ascii="宋体" w:hAnsi="宋体" w:eastAsia="宋体" w:cs="宋体"/>
          <w:color w:val="000000"/>
          <w:kern w:val="0"/>
          <w:szCs w:val="21"/>
          <w:lang w:bidi="ar"/>
        </w:rPr>
      </w:pPr>
      <w:r>
        <w:rPr>
          <w:rFonts w:hint="eastAsia" w:ascii="宋体" w:hAnsi="宋体" w:eastAsia="宋体" w:cs="宋体"/>
          <w:b/>
          <w:bCs/>
          <w:color w:val="000000"/>
          <w:kern w:val="0"/>
          <w:szCs w:val="21"/>
          <w:lang w:bidi="ar"/>
        </w:rPr>
        <w:t>第五条</w:t>
      </w:r>
      <w:r>
        <w:rPr>
          <w:rFonts w:hint="eastAsia" w:ascii="宋体" w:hAnsi="宋体" w:eastAsia="宋体" w:cs="宋体"/>
          <w:color w:val="000000"/>
          <w:kern w:val="0"/>
          <w:szCs w:val="21"/>
          <w:lang w:bidi="ar"/>
        </w:rPr>
        <w:t xml:space="preserve"> </w:t>
      </w:r>
      <w:bookmarkStart w:id="1" w:name="_Hlk31887909"/>
      <w:r>
        <w:rPr>
          <w:rFonts w:hint="eastAsia" w:ascii="宋体" w:hAnsi="宋体" w:eastAsia="宋体" w:cs="宋体"/>
          <w:color w:val="000000"/>
          <w:kern w:val="0"/>
          <w:szCs w:val="21"/>
          <w:lang w:bidi="ar"/>
        </w:rPr>
        <w:t>本附加险合同的保险责任包含乳腺恶性肿瘤特种药品费用保险金和乳腺恶性肿瘤特许进口药品费用保险金两项可选责任，投保人可以为被保险人选择投保其中一项，也可同时投保多项，在本附加险合同保险期间内，保险人承担投保人选择的并于保险单上载明的保险责任：</w:t>
      </w:r>
    </w:p>
    <w:p>
      <w:pPr>
        <w:pStyle w:val="13"/>
        <w:keepNext w:val="0"/>
        <w:keepLines w:val="0"/>
        <w:pageBreakBefore w:val="0"/>
        <w:widowControl w:val="0"/>
        <w:kinsoku/>
        <w:wordWrap/>
        <w:overflowPunct/>
        <w:topLinePunct w:val="0"/>
        <w:autoSpaceDE w:val="0"/>
        <w:autoSpaceDN w:val="0"/>
        <w:bidi w:val="0"/>
        <w:adjustRightInd w:val="0"/>
        <w:spacing w:line="360" w:lineRule="auto"/>
        <w:ind w:firstLine="422"/>
        <w:jc w:val="left"/>
        <w:textAlignment w:val="auto"/>
        <w:rPr>
          <w:rFonts w:ascii="宋体" w:hAnsi="宋体" w:eastAsia="宋体" w:cs="宋体"/>
          <w:b/>
          <w:bCs/>
          <w:color w:val="000000"/>
          <w:kern w:val="0"/>
          <w:szCs w:val="21"/>
          <w:lang w:bidi="ar"/>
        </w:rPr>
      </w:pPr>
      <w:r>
        <w:rPr>
          <w:rFonts w:hint="eastAsia" w:ascii="宋体" w:hAnsi="宋体" w:eastAsia="宋体" w:cs="宋体"/>
          <w:b/>
          <w:bCs/>
          <w:color w:val="000000"/>
          <w:kern w:val="0"/>
          <w:szCs w:val="21"/>
          <w:lang w:bidi="ar"/>
        </w:rPr>
        <w:t>（一）乳腺恶性肿瘤特种药品费用保险金</w:t>
      </w:r>
    </w:p>
    <w:p>
      <w:pPr>
        <w:pStyle w:val="13"/>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asciiTheme="minorEastAsia" w:hAnsiTheme="minorEastAsia" w:cstheme="minorEastAsia"/>
        </w:rPr>
      </w:pPr>
      <w:r>
        <w:rPr>
          <w:rFonts w:hint="eastAsia" w:asciiTheme="minorEastAsia" w:hAnsiTheme="minorEastAsia" w:cstheme="minorEastAsia"/>
        </w:rPr>
        <w:t>在本附加险合同保险期间内，被保险人在</w:t>
      </w:r>
      <w:r>
        <w:rPr>
          <w:rFonts w:hint="eastAsia" w:asciiTheme="minorEastAsia" w:hAnsiTheme="minorEastAsia" w:cstheme="minorEastAsia"/>
          <w:b/>
          <w:bCs/>
        </w:rPr>
        <w:t>等待期</w:t>
      </w:r>
      <w:r>
        <w:rPr>
          <w:rFonts w:hint="eastAsia" w:asciiTheme="minorEastAsia" w:hAnsiTheme="minorEastAsia" w:cstheme="minorEastAsia"/>
        </w:rPr>
        <w:t>后经医院专科医生确诊发生主险合同约定的乳腺恶性肿瘤首次复发，对于被保险人因治疗乳腺恶性肿瘤实际发生的必需且合理的且同时满足以下条件的特种药品费用，</w:t>
      </w:r>
      <w:r>
        <w:rPr>
          <w:rFonts w:hint="eastAsia" w:asciiTheme="minorEastAsia" w:hAnsiTheme="minorEastAsia" w:cstheme="minorEastAsia"/>
          <w:b/>
          <w:bCs/>
        </w:rPr>
        <w:t>保险人在扣除约定的免赔额后，按本附加险合同约定的赔付比例在乳腺恶性肿瘤特种药品费用保险金额内赔付乳腺恶性肿瘤特种药品费用保险金。</w:t>
      </w:r>
      <w:r>
        <w:rPr>
          <w:rFonts w:hint="eastAsia" w:asciiTheme="minorEastAsia" w:hAnsiTheme="minorEastAsia" w:cstheme="minorEastAsia"/>
        </w:rPr>
        <w:t>赔付乳腺恶性肿瘤特种药品费用保险金必须同时满足以下要求：</w:t>
      </w:r>
    </w:p>
    <w:p>
      <w:pPr>
        <w:pStyle w:val="13"/>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asciiTheme="minorEastAsia" w:hAnsiTheme="minorEastAsia" w:cstheme="minorEastAsia"/>
        </w:rPr>
      </w:pPr>
      <w:r>
        <w:rPr>
          <w:rFonts w:hint="eastAsia" w:asciiTheme="minorEastAsia" w:hAnsiTheme="minorEastAsia" w:cstheme="minorEastAsia"/>
        </w:rPr>
        <w:t>（1）该特种药品须由医院专科医生开具</w:t>
      </w:r>
      <w:r>
        <w:rPr>
          <w:rFonts w:hint="eastAsia" w:asciiTheme="minorEastAsia" w:hAnsiTheme="minorEastAsia" w:cstheme="minorEastAsia"/>
          <w:b/>
          <w:bCs/>
        </w:rPr>
        <w:t>处方（释义一）</w:t>
      </w:r>
      <w:r>
        <w:rPr>
          <w:rFonts w:hint="eastAsia" w:asciiTheme="minorEastAsia" w:hAnsiTheme="minorEastAsia" w:cstheme="minorEastAsia"/>
        </w:rPr>
        <w:t>且为被保险人当前治疗所必需的药品；</w:t>
      </w:r>
    </w:p>
    <w:p>
      <w:pPr>
        <w:pStyle w:val="13"/>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asciiTheme="minorEastAsia" w:hAnsiTheme="minorEastAsia" w:cstheme="minorEastAsia"/>
        </w:rPr>
      </w:pPr>
      <w:r>
        <w:rPr>
          <w:rFonts w:hint="eastAsia" w:asciiTheme="minorEastAsia" w:hAnsiTheme="minorEastAsia" w:cstheme="minorEastAsia"/>
        </w:rPr>
        <w:t>（2）特种药品处方仅限治疗等待期后确诊发生的乳腺恶性肿瘤首次复发；</w:t>
      </w:r>
    </w:p>
    <w:p>
      <w:pPr>
        <w:pStyle w:val="13"/>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asciiTheme="minorEastAsia" w:hAnsiTheme="minorEastAsia" w:cstheme="minorEastAsia"/>
        </w:rPr>
      </w:pPr>
      <w:r>
        <w:rPr>
          <w:rFonts w:hint="eastAsia" w:asciiTheme="minorEastAsia" w:hAnsiTheme="minorEastAsia" w:cstheme="minorEastAsia"/>
        </w:rPr>
        <w:t>（3）每次特种药品处方剂量不超过30日；</w:t>
      </w:r>
    </w:p>
    <w:p>
      <w:pPr>
        <w:pStyle w:val="13"/>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asciiTheme="minorEastAsia" w:hAnsiTheme="minorEastAsia" w:cstheme="minorEastAsia"/>
        </w:rPr>
      </w:pPr>
      <w:r>
        <w:rPr>
          <w:rFonts w:hint="eastAsia" w:asciiTheme="minorEastAsia" w:hAnsiTheme="minorEastAsia" w:cstheme="minorEastAsia"/>
        </w:rPr>
        <w:t>（4）上述药品处方中所列明的药品属于</w:t>
      </w:r>
      <w:r>
        <w:rPr>
          <w:rFonts w:hint="eastAsia" w:asciiTheme="minorEastAsia" w:hAnsiTheme="minorEastAsia" w:cstheme="minorEastAsia"/>
          <w:b/>
          <w:bCs/>
        </w:rPr>
        <w:t>保险人指定或认可的药品清单（释义二）</w:t>
      </w:r>
      <w:r>
        <w:rPr>
          <w:rFonts w:hint="eastAsia" w:asciiTheme="minorEastAsia" w:hAnsiTheme="minorEastAsia" w:cstheme="minorEastAsia"/>
        </w:rPr>
        <w:t>中的药品；</w:t>
      </w:r>
    </w:p>
    <w:p>
      <w:pPr>
        <w:pStyle w:val="13"/>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asciiTheme="minorEastAsia" w:hAnsiTheme="minorEastAsia" w:cstheme="minorEastAsia"/>
        </w:rPr>
      </w:pPr>
      <w:r>
        <w:rPr>
          <w:rFonts w:hint="eastAsia" w:asciiTheme="minorEastAsia" w:hAnsiTheme="minorEastAsia" w:cstheme="minorEastAsia"/>
        </w:rPr>
        <w:t>（5）上述药品处方中所列明的药品是在</w:t>
      </w:r>
      <w:r>
        <w:rPr>
          <w:rFonts w:hint="eastAsia" w:asciiTheme="minorEastAsia" w:hAnsiTheme="minorEastAsia" w:cstheme="minorEastAsia"/>
          <w:b/>
          <w:bCs/>
        </w:rPr>
        <w:t>保险人指定或认可的药店（释义三）</w:t>
      </w:r>
      <w:r>
        <w:rPr>
          <w:rFonts w:hint="eastAsia" w:asciiTheme="minorEastAsia" w:hAnsiTheme="minorEastAsia" w:cstheme="minorEastAsia"/>
        </w:rPr>
        <w:t>购买的药品；</w:t>
      </w:r>
    </w:p>
    <w:p>
      <w:pPr>
        <w:keepNext w:val="0"/>
        <w:keepLines w:val="0"/>
        <w:pageBreakBefore w:val="0"/>
        <w:widowControl w:val="0"/>
        <w:kinsoku/>
        <w:wordWrap/>
        <w:overflowPunct/>
        <w:topLinePunct w:val="0"/>
        <w:autoSpaceDE w:val="0"/>
        <w:autoSpaceDN w:val="0"/>
        <w:bidi w:val="0"/>
        <w:spacing w:line="360" w:lineRule="auto"/>
        <w:ind w:firstLine="420" w:firstLineChars="200"/>
        <w:jc w:val="left"/>
        <w:textAlignment w:val="auto"/>
        <w:rPr>
          <w:rFonts w:ascii="宋体" w:hAnsi="宋体" w:eastAsia="宋体" w:cs="宋体"/>
          <w:bCs/>
          <w:color w:val="000000"/>
          <w:szCs w:val="21"/>
        </w:rPr>
      </w:pPr>
      <w:r>
        <w:rPr>
          <w:rFonts w:hint="eastAsia" w:asciiTheme="minorEastAsia" w:hAnsiTheme="minorEastAsia" w:cstheme="minorEastAsia"/>
          <w:szCs w:val="22"/>
        </w:rPr>
        <w:t>（6）</w:t>
      </w:r>
      <w:r>
        <w:rPr>
          <w:rFonts w:hint="eastAsia" w:ascii="宋体" w:hAnsi="宋体" w:eastAsia="宋体" w:cs="宋体"/>
          <w:bCs/>
          <w:color w:val="000000"/>
          <w:szCs w:val="21"/>
        </w:rPr>
        <w:t>符合本附加险合同关于特种药品审核及购药流程的约定。被保险人购买处方中所列特种药品前,需按保险人指定流程提交相应材料并通过处方审核,具体流程见“授权申请、</w:t>
      </w:r>
      <w:r>
        <w:rPr>
          <w:rFonts w:hint="eastAsia" w:ascii="宋体" w:hAnsi="宋体" w:eastAsia="宋体" w:cs="宋体"/>
          <w:bCs/>
          <w:szCs w:val="21"/>
        </w:rPr>
        <w:t>药品处方审核及购药流程</w:t>
      </w:r>
      <w:r>
        <w:rPr>
          <w:rFonts w:hint="eastAsia" w:ascii="宋体" w:hAnsi="宋体" w:eastAsia="宋体" w:cs="宋体"/>
          <w:bCs/>
          <w:color w:val="000000"/>
          <w:szCs w:val="21"/>
        </w:rPr>
        <w:t>”。</w:t>
      </w:r>
    </w:p>
    <w:p>
      <w:pPr>
        <w:pStyle w:val="13"/>
        <w:keepNext w:val="0"/>
        <w:keepLines w:val="0"/>
        <w:pageBreakBefore w:val="0"/>
        <w:widowControl w:val="0"/>
        <w:kinsoku/>
        <w:wordWrap/>
        <w:overflowPunct/>
        <w:topLinePunct w:val="0"/>
        <w:autoSpaceDE w:val="0"/>
        <w:autoSpaceDN w:val="0"/>
        <w:bidi w:val="0"/>
        <w:adjustRightInd w:val="0"/>
        <w:spacing w:line="360" w:lineRule="auto"/>
        <w:jc w:val="left"/>
        <w:textAlignment w:val="auto"/>
        <w:rPr>
          <w:rFonts w:asciiTheme="minorEastAsia" w:hAnsiTheme="minorEastAsia" w:cstheme="minorEastAsia"/>
        </w:rPr>
      </w:pPr>
      <w:r>
        <w:rPr>
          <w:rFonts w:hint="eastAsia" w:asciiTheme="minorEastAsia" w:hAnsiTheme="minorEastAsia" w:cstheme="minorEastAsia"/>
        </w:rPr>
        <w:t>若本附加险合同保险期间届满时被保险人乳腺恶性肿瘤治疗仍未结束，且被保险人首次购买特种药品的日期发生在保险期间内的，对被保险人乳腺恶性肿瘤首次复发确诊之日起365天内(含第365天)发生的符合本附加险合同约定的特种药品费用，保险人仍按照本附加险合同保险责任约定在乳腺恶性肿瘤特种药品费用保险金额内承担赔偿保险金的责任。</w:t>
      </w:r>
    </w:p>
    <w:p>
      <w:pPr>
        <w:pStyle w:val="13"/>
        <w:keepNext w:val="0"/>
        <w:keepLines w:val="0"/>
        <w:pageBreakBefore w:val="0"/>
        <w:widowControl w:val="0"/>
        <w:kinsoku/>
        <w:wordWrap/>
        <w:overflowPunct/>
        <w:topLinePunct w:val="0"/>
        <w:autoSpaceDE w:val="0"/>
        <w:autoSpaceDN w:val="0"/>
        <w:bidi w:val="0"/>
        <w:adjustRightInd w:val="0"/>
        <w:spacing w:line="360" w:lineRule="auto"/>
        <w:ind w:firstLine="422"/>
        <w:jc w:val="left"/>
        <w:textAlignment w:val="auto"/>
        <w:rPr>
          <w:rFonts w:asciiTheme="minorEastAsia" w:hAnsiTheme="minorEastAsia" w:cstheme="minorEastAsia"/>
          <w:b/>
          <w:bCs/>
        </w:rPr>
      </w:pPr>
      <w:r>
        <w:rPr>
          <w:rFonts w:hint="eastAsia" w:asciiTheme="minorEastAsia" w:hAnsiTheme="minorEastAsia" w:cstheme="minorEastAsia"/>
          <w:b/>
          <w:bCs/>
        </w:rPr>
        <w:t>保险人一次或累计赔偿的乳腺恶性肿瘤特种药品费用保险金以本附加险合同保险单载明的乳腺恶性肿瘤特种药品费用保险金额为限，当一次或累计赔偿金额达到乳腺恶性肿瘤特种药品费用保险金额时，本项责任终止。如投保人未投保另一项责任，本附加险合同终止。</w:t>
      </w:r>
    </w:p>
    <w:p>
      <w:pPr>
        <w:pStyle w:val="13"/>
        <w:keepNext w:val="0"/>
        <w:keepLines w:val="0"/>
        <w:pageBreakBefore w:val="0"/>
        <w:widowControl w:val="0"/>
        <w:kinsoku/>
        <w:wordWrap/>
        <w:overflowPunct/>
        <w:topLinePunct w:val="0"/>
        <w:autoSpaceDE w:val="0"/>
        <w:autoSpaceDN w:val="0"/>
        <w:bidi w:val="0"/>
        <w:adjustRightInd w:val="0"/>
        <w:spacing w:line="360" w:lineRule="auto"/>
        <w:ind w:firstLine="422"/>
        <w:jc w:val="left"/>
        <w:textAlignment w:val="auto"/>
        <w:rPr>
          <w:b/>
          <w:bCs/>
          <w:color w:val="auto"/>
          <w:kern w:val="2"/>
          <w:sz w:val="21"/>
          <w:szCs w:val="21"/>
        </w:rPr>
      </w:pPr>
      <w:r>
        <w:rPr>
          <w:rFonts w:hint="eastAsia"/>
          <w:b/>
          <w:bCs/>
          <w:color w:val="auto"/>
          <w:kern w:val="2"/>
          <w:sz w:val="21"/>
          <w:szCs w:val="21"/>
          <w:lang w:eastAsia="zh-CN"/>
        </w:rPr>
        <w:t>（</w:t>
      </w:r>
      <w:r>
        <w:rPr>
          <w:rFonts w:hint="eastAsia"/>
          <w:b/>
          <w:bCs/>
          <w:color w:val="auto"/>
          <w:kern w:val="2"/>
          <w:sz w:val="21"/>
          <w:szCs w:val="21"/>
          <w:lang w:val="en-US" w:eastAsia="zh-CN"/>
        </w:rPr>
        <w:t>二</w:t>
      </w:r>
      <w:r>
        <w:rPr>
          <w:rFonts w:hint="eastAsia"/>
          <w:b/>
          <w:bCs/>
          <w:color w:val="auto"/>
          <w:kern w:val="2"/>
          <w:sz w:val="21"/>
          <w:szCs w:val="21"/>
          <w:lang w:eastAsia="zh-CN"/>
        </w:rPr>
        <w:t>）</w:t>
      </w:r>
      <w:r>
        <w:rPr>
          <w:rFonts w:hint="eastAsia"/>
          <w:b/>
          <w:bCs/>
          <w:color w:val="auto"/>
          <w:kern w:val="2"/>
          <w:sz w:val="21"/>
          <w:szCs w:val="21"/>
        </w:rPr>
        <w:t>乳腺</w:t>
      </w:r>
      <w:r>
        <w:rPr>
          <w:rFonts w:hint="eastAsia" w:ascii="宋体" w:hAnsi="宋体" w:eastAsia="宋体" w:cs="宋体"/>
          <w:b/>
          <w:bCs/>
          <w:color w:val="000000"/>
          <w:kern w:val="0"/>
          <w:szCs w:val="21"/>
          <w:lang w:bidi="ar"/>
        </w:rPr>
        <w:t>恶性肿瘤</w:t>
      </w:r>
      <w:r>
        <w:rPr>
          <w:rFonts w:hint="eastAsia"/>
          <w:b/>
          <w:bCs/>
          <w:color w:val="auto"/>
          <w:kern w:val="2"/>
          <w:sz w:val="21"/>
          <w:szCs w:val="21"/>
        </w:rPr>
        <w:t>特许进口药品费用保险金</w:t>
      </w:r>
    </w:p>
    <w:p>
      <w:pPr>
        <w:keepNext w:val="0"/>
        <w:keepLines w:val="0"/>
        <w:pageBreakBefore w:val="0"/>
        <w:widowControl w:val="0"/>
        <w:kinsoku/>
        <w:wordWrap/>
        <w:overflowPunct/>
        <w:topLinePunct w:val="0"/>
        <w:bidi w:val="0"/>
        <w:adjustRightInd w:val="0"/>
        <w:snapToGrid w:val="0"/>
        <w:spacing w:line="360" w:lineRule="auto"/>
        <w:ind w:firstLine="420" w:firstLineChars="200"/>
        <w:textAlignment w:val="auto"/>
        <w:rPr>
          <w:rFonts w:ascii="宋体" w:hAnsi="宋体" w:cs="宋体"/>
          <w:b/>
          <w:bCs/>
          <w:szCs w:val="21"/>
        </w:rPr>
      </w:pPr>
      <w:r>
        <w:rPr>
          <w:rFonts w:hint="eastAsia" w:ascii="宋体" w:hAnsi="宋体" w:cs="宋体"/>
          <w:szCs w:val="21"/>
        </w:rPr>
        <w:t>在本附加险合同保险期间内，被保险人在</w:t>
      </w:r>
      <w:r>
        <w:rPr>
          <w:rFonts w:hint="eastAsia" w:ascii="宋体" w:hAnsi="宋体" w:cs="宋体"/>
          <w:b/>
          <w:bCs/>
          <w:szCs w:val="21"/>
        </w:rPr>
        <w:t>等待期</w:t>
      </w:r>
      <w:r>
        <w:rPr>
          <w:rFonts w:hint="eastAsia" w:ascii="宋体" w:hAnsi="宋体" w:cs="宋体"/>
          <w:szCs w:val="21"/>
        </w:rPr>
        <w:t>后经医院专科医生确诊发生主险合同约定的乳腺恶性肿瘤首次复发，对于被保险人在本附加险合同约定的特定医疗机构因治疗乳腺恶性肿瘤实际发生的必需且合理的且同时满足以下条件的特许进口药品费用，</w:t>
      </w:r>
      <w:r>
        <w:rPr>
          <w:rFonts w:hint="eastAsia" w:ascii="宋体" w:hAnsi="宋体" w:cs="宋体"/>
          <w:b/>
          <w:bCs/>
          <w:szCs w:val="21"/>
        </w:rPr>
        <w:t>保险人在扣除约定的</w:t>
      </w:r>
      <w:r>
        <w:rPr>
          <w:rFonts w:hint="eastAsia"/>
          <w:b/>
          <w:bCs/>
          <w:szCs w:val="21"/>
        </w:rPr>
        <w:t>乳腺恶性肿瘤特许进口药品费用保险金</w:t>
      </w:r>
      <w:r>
        <w:rPr>
          <w:rFonts w:hint="eastAsia" w:ascii="宋体" w:hAnsi="宋体" w:cs="宋体"/>
          <w:b/>
          <w:bCs/>
          <w:szCs w:val="21"/>
        </w:rPr>
        <w:t>免赔额后，按本附加险合同约定的</w:t>
      </w:r>
      <w:r>
        <w:rPr>
          <w:rFonts w:hint="eastAsia"/>
          <w:b/>
          <w:bCs/>
          <w:szCs w:val="21"/>
        </w:rPr>
        <w:t>乳腺恶性肿瘤特许进口药品费用保险金</w:t>
      </w:r>
      <w:r>
        <w:rPr>
          <w:rFonts w:hint="eastAsia" w:asciiTheme="minorEastAsia" w:hAnsiTheme="minorEastAsia" w:cstheme="minorEastAsia"/>
          <w:b/>
          <w:bCs/>
        </w:rPr>
        <w:t>赔付比例</w:t>
      </w:r>
      <w:r>
        <w:rPr>
          <w:rStyle w:val="12"/>
          <w:rFonts w:hint="eastAsia" w:ascii="Times New Roman" w:hAnsi="Times New Roman" w:cs="Times New Roman"/>
          <w:b/>
          <w:bCs/>
          <w:sz w:val="21"/>
          <w:szCs w:val="21"/>
        </w:rPr>
        <w:t>在乳腺恶性肿瘤特许进口药品费用保险金额内</w:t>
      </w:r>
      <w:r>
        <w:rPr>
          <w:rFonts w:hint="eastAsia" w:asciiTheme="minorEastAsia" w:hAnsiTheme="minorEastAsia" w:cstheme="minorEastAsia"/>
          <w:b/>
          <w:bCs/>
        </w:rPr>
        <w:t>赔付</w:t>
      </w:r>
      <w:r>
        <w:rPr>
          <w:rFonts w:hint="eastAsia" w:ascii="宋体" w:hAnsi="宋体" w:cs="宋体"/>
          <w:b/>
          <w:bCs/>
          <w:szCs w:val="21"/>
        </w:rPr>
        <w:t>乳腺恶性肿瘤特许进口药品费用保险金。</w:t>
      </w:r>
    </w:p>
    <w:p>
      <w:pPr>
        <w:keepNext w:val="0"/>
        <w:keepLines w:val="0"/>
        <w:pageBreakBefore w:val="0"/>
        <w:widowControl w:val="0"/>
        <w:kinsoku/>
        <w:wordWrap/>
        <w:overflowPunct/>
        <w:topLinePunct w:val="0"/>
        <w:bidi w:val="0"/>
        <w:adjustRightInd w:val="0"/>
        <w:snapToGrid w:val="0"/>
        <w:spacing w:line="360" w:lineRule="auto"/>
        <w:ind w:firstLine="422" w:firstLineChars="200"/>
        <w:textAlignment w:val="auto"/>
        <w:rPr>
          <w:rFonts w:ascii="宋体" w:hAnsi="宋体" w:cs="宋体"/>
        </w:rPr>
      </w:pPr>
      <w:r>
        <w:rPr>
          <w:rFonts w:hint="eastAsia" w:ascii="宋体" w:hAnsi="宋体" w:cs="宋体"/>
          <w:b/>
          <w:bCs/>
        </w:rPr>
        <w:t>赔付</w:t>
      </w:r>
      <w:r>
        <w:rPr>
          <w:rFonts w:hint="eastAsia"/>
          <w:b/>
          <w:bCs/>
          <w:szCs w:val="21"/>
        </w:rPr>
        <w:t>乳腺恶性肿瘤特许进口药品费用保险金</w:t>
      </w:r>
      <w:r>
        <w:rPr>
          <w:rFonts w:hint="eastAsia" w:ascii="宋体" w:hAnsi="宋体" w:cs="宋体"/>
          <w:b/>
          <w:bCs/>
        </w:rPr>
        <w:t>必须同时满足以下要求：</w:t>
      </w:r>
    </w:p>
    <w:p>
      <w:pPr>
        <w:keepNext w:val="0"/>
        <w:keepLines w:val="0"/>
        <w:pageBreakBefore w:val="0"/>
        <w:widowControl w:val="0"/>
        <w:kinsoku/>
        <w:wordWrap/>
        <w:overflowPunct/>
        <w:topLinePunct w:val="0"/>
        <w:bidi w:val="0"/>
        <w:adjustRightInd w:val="0"/>
        <w:snapToGrid w:val="0"/>
        <w:spacing w:line="360" w:lineRule="auto"/>
        <w:ind w:firstLine="420" w:firstLineChars="200"/>
        <w:textAlignment w:val="auto"/>
        <w:rPr>
          <w:rFonts w:ascii="宋体" w:hAnsi="宋体" w:eastAsia="宋体" w:cs="宋体"/>
          <w:szCs w:val="21"/>
        </w:rPr>
      </w:pPr>
      <w:r>
        <w:rPr>
          <w:rFonts w:hint="eastAsia" w:ascii="宋体" w:hAnsi="宋体" w:eastAsia="宋体" w:cs="宋体"/>
          <w:szCs w:val="21"/>
        </w:rPr>
        <w:t xml:space="preserve">1、该特许进口药品须由本附加险合同约定的医院或保险人认可的特定医疗机构的专科医生开具处方且为被保险人当前治疗必需的药品； </w:t>
      </w:r>
    </w:p>
    <w:p>
      <w:pPr>
        <w:keepNext w:val="0"/>
        <w:keepLines w:val="0"/>
        <w:pageBreakBefore w:val="0"/>
        <w:widowControl w:val="0"/>
        <w:kinsoku/>
        <w:wordWrap/>
        <w:overflowPunct/>
        <w:topLinePunct w:val="0"/>
        <w:bidi w:val="0"/>
        <w:adjustRightInd w:val="0"/>
        <w:snapToGrid w:val="0"/>
        <w:spacing w:line="360" w:lineRule="auto"/>
        <w:ind w:firstLine="420" w:firstLineChars="200"/>
        <w:textAlignment w:val="auto"/>
        <w:rPr>
          <w:rFonts w:ascii="宋体" w:hAnsi="宋体" w:eastAsia="宋体" w:cs="宋体"/>
          <w:szCs w:val="21"/>
        </w:rPr>
      </w:pPr>
      <w:r>
        <w:rPr>
          <w:rFonts w:hint="eastAsia" w:ascii="宋体" w:hAnsi="宋体" w:eastAsia="宋体" w:cs="宋体"/>
          <w:szCs w:val="21"/>
        </w:rPr>
        <w:t>2、特许进口药品处方仅限治疗等待期后确诊发生的乳腺恶性肿瘤首次复发；</w:t>
      </w:r>
    </w:p>
    <w:p>
      <w:pPr>
        <w:keepNext w:val="0"/>
        <w:keepLines w:val="0"/>
        <w:pageBreakBefore w:val="0"/>
        <w:widowControl w:val="0"/>
        <w:kinsoku/>
        <w:wordWrap/>
        <w:overflowPunct/>
        <w:topLinePunct w:val="0"/>
        <w:bidi w:val="0"/>
        <w:adjustRightInd w:val="0"/>
        <w:snapToGrid w:val="0"/>
        <w:spacing w:line="360" w:lineRule="auto"/>
        <w:ind w:firstLine="420" w:firstLineChars="200"/>
        <w:textAlignment w:val="auto"/>
        <w:rPr>
          <w:rFonts w:ascii="宋体" w:hAnsi="宋体" w:eastAsia="宋体" w:cs="宋体"/>
          <w:szCs w:val="21"/>
        </w:rPr>
      </w:pPr>
      <w:r>
        <w:rPr>
          <w:rFonts w:ascii="宋体" w:hAnsi="宋体" w:eastAsia="宋体" w:cs="宋体"/>
          <w:szCs w:val="21"/>
        </w:rPr>
        <w:t>3</w:t>
      </w:r>
      <w:r>
        <w:rPr>
          <w:rFonts w:hint="eastAsia" w:ascii="宋体" w:hAnsi="宋体" w:eastAsia="宋体" w:cs="宋体"/>
          <w:szCs w:val="21"/>
        </w:rPr>
        <w:t xml:space="preserve">、每次特许进口药品处方剂量不超过30日； </w:t>
      </w:r>
    </w:p>
    <w:p>
      <w:pPr>
        <w:keepNext w:val="0"/>
        <w:keepLines w:val="0"/>
        <w:pageBreakBefore w:val="0"/>
        <w:widowControl w:val="0"/>
        <w:kinsoku/>
        <w:wordWrap/>
        <w:overflowPunct/>
        <w:topLinePunct w:val="0"/>
        <w:bidi w:val="0"/>
        <w:adjustRightInd w:val="0"/>
        <w:snapToGrid w:val="0"/>
        <w:spacing w:line="360" w:lineRule="auto"/>
        <w:ind w:firstLine="420" w:firstLineChars="200"/>
        <w:textAlignment w:val="auto"/>
        <w:rPr>
          <w:rFonts w:ascii="宋体" w:hAnsi="宋体" w:eastAsia="宋体" w:cs="宋体"/>
          <w:szCs w:val="21"/>
        </w:rPr>
      </w:pPr>
      <w:r>
        <w:rPr>
          <w:rFonts w:ascii="宋体" w:hAnsi="宋体" w:eastAsia="宋体" w:cs="宋体"/>
          <w:szCs w:val="21"/>
        </w:rPr>
        <w:t>4</w:t>
      </w:r>
      <w:r>
        <w:rPr>
          <w:rFonts w:hint="eastAsia" w:ascii="宋体" w:hAnsi="宋体" w:eastAsia="宋体" w:cs="宋体"/>
          <w:szCs w:val="21"/>
        </w:rPr>
        <w:t>、上述药品处方中所列明的特许进口药品必须经相关监管部门审批通过并获得进口许可，且在约定的</w:t>
      </w:r>
      <w:r>
        <w:rPr>
          <w:rFonts w:hint="eastAsia" w:ascii="宋体" w:hAnsi="宋体" w:eastAsia="宋体" w:cs="宋体"/>
          <w:b/>
          <w:bCs/>
          <w:szCs w:val="21"/>
        </w:rPr>
        <w:t>《</w:t>
      </w:r>
      <w:r>
        <w:rPr>
          <w:rFonts w:hint="eastAsia"/>
          <w:b/>
          <w:bCs/>
          <w:szCs w:val="21"/>
        </w:rPr>
        <w:t>特许进口药品</w:t>
      </w:r>
      <w:r>
        <w:rPr>
          <w:rFonts w:hint="eastAsia" w:ascii="宋体" w:hAnsi="宋体" w:eastAsia="宋体" w:cs="宋体"/>
          <w:b/>
          <w:bCs/>
          <w:szCs w:val="21"/>
        </w:rPr>
        <w:t>清单》（释义四）</w:t>
      </w:r>
      <w:r>
        <w:rPr>
          <w:rFonts w:hint="eastAsia" w:ascii="宋体" w:hAnsi="宋体" w:eastAsia="宋体" w:cs="宋体"/>
          <w:szCs w:val="21"/>
        </w:rPr>
        <w:t>中；</w:t>
      </w:r>
    </w:p>
    <w:p>
      <w:pPr>
        <w:keepNext w:val="0"/>
        <w:keepLines w:val="0"/>
        <w:pageBreakBefore w:val="0"/>
        <w:widowControl w:val="0"/>
        <w:kinsoku/>
        <w:wordWrap/>
        <w:overflowPunct/>
        <w:topLinePunct w:val="0"/>
        <w:bidi w:val="0"/>
        <w:adjustRightInd w:val="0"/>
        <w:snapToGrid w:val="0"/>
        <w:spacing w:line="360" w:lineRule="auto"/>
        <w:ind w:firstLine="420" w:firstLineChars="200"/>
        <w:textAlignment w:val="auto"/>
        <w:rPr>
          <w:rFonts w:ascii="宋体" w:hAnsi="宋体" w:eastAsia="宋体" w:cs="宋体"/>
          <w:szCs w:val="21"/>
        </w:rPr>
      </w:pPr>
      <w:r>
        <w:rPr>
          <w:rFonts w:hint="eastAsia" w:ascii="宋体" w:hAnsi="宋体" w:eastAsia="宋体" w:cs="宋体"/>
          <w:szCs w:val="21"/>
        </w:rPr>
        <w:t>4、被保险人须在保险人指定的医疗机构或药店购买上述处方中所列的特许进口药品；</w:t>
      </w:r>
    </w:p>
    <w:p>
      <w:pPr>
        <w:keepNext w:val="0"/>
        <w:keepLines w:val="0"/>
        <w:pageBreakBefore w:val="0"/>
        <w:widowControl w:val="0"/>
        <w:kinsoku/>
        <w:wordWrap/>
        <w:overflowPunct/>
        <w:topLinePunct w:val="0"/>
        <w:bidi w:val="0"/>
        <w:adjustRightInd w:val="0"/>
        <w:snapToGrid w:val="0"/>
        <w:spacing w:line="360" w:lineRule="auto"/>
        <w:ind w:firstLine="420" w:firstLineChars="200"/>
        <w:textAlignment w:val="auto"/>
        <w:rPr>
          <w:rFonts w:ascii="宋体" w:hAnsi="宋体" w:eastAsia="宋体" w:cs="宋体"/>
          <w:szCs w:val="21"/>
        </w:rPr>
      </w:pPr>
      <w:r>
        <w:rPr>
          <w:rFonts w:hint="eastAsia" w:ascii="宋体" w:hAnsi="宋体" w:eastAsia="宋体" w:cs="宋体"/>
          <w:szCs w:val="21"/>
        </w:rPr>
        <w:t>5、符合本附加险合同关于特许进口药品审核及购药流程的约定。被保险人购买处方中所列特许进口药品前,需按保险人指定流程提交相应材料并通过处方审核,具体流程见“</w:t>
      </w:r>
      <w:r>
        <w:rPr>
          <w:rFonts w:hint="eastAsia" w:ascii="宋体" w:hAnsi="宋体" w:eastAsia="宋体" w:cs="宋体"/>
          <w:color w:val="000000"/>
          <w:szCs w:val="21"/>
        </w:rPr>
        <w:t>授权申请、</w:t>
      </w:r>
      <w:r>
        <w:rPr>
          <w:rFonts w:hint="eastAsia" w:ascii="宋体" w:hAnsi="宋体" w:eastAsia="宋体" w:cs="宋体"/>
          <w:szCs w:val="21"/>
        </w:rPr>
        <w:t>处方审核及购药流程”。</w:t>
      </w:r>
    </w:p>
    <w:p>
      <w:pPr>
        <w:keepNext w:val="0"/>
        <w:keepLines w:val="0"/>
        <w:pageBreakBefore w:val="0"/>
        <w:widowControl w:val="0"/>
        <w:kinsoku/>
        <w:wordWrap/>
        <w:overflowPunct/>
        <w:topLinePunct w:val="0"/>
        <w:bidi w:val="0"/>
        <w:adjustRightInd w:val="0"/>
        <w:snapToGrid w:val="0"/>
        <w:spacing w:line="360" w:lineRule="auto"/>
        <w:ind w:firstLine="420" w:firstLineChars="200"/>
        <w:textAlignment w:val="auto"/>
        <w:rPr>
          <w:rFonts w:ascii="宋体" w:hAnsi="宋体" w:eastAsia="宋体" w:cs="宋体"/>
          <w:b/>
          <w:bCs/>
          <w:szCs w:val="21"/>
        </w:rPr>
      </w:pPr>
      <w:r>
        <w:rPr>
          <w:rFonts w:hint="eastAsia"/>
          <w:bCs/>
          <w:kern w:val="2"/>
          <w:sz w:val="21"/>
          <w:szCs w:val="21"/>
        </w:rPr>
        <w:t>若本附加险合同保险期间届满时被保险人乳腺恶性肿瘤治疗仍未结束，且被保险人首次购买特许进口药品的日期发生在保险期间内的，对被保险人乳腺恶性肿瘤首次复发确诊之日起365天内</w:t>
      </w:r>
      <w:r>
        <w:rPr>
          <w:rFonts w:hint="eastAsia" w:asciiTheme="minorEastAsia" w:hAnsiTheme="minorEastAsia" w:cstheme="minorEastAsia"/>
        </w:rPr>
        <w:t>(含第365天)</w:t>
      </w:r>
      <w:r>
        <w:rPr>
          <w:rFonts w:hint="eastAsia"/>
          <w:bCs/>
          <w:kern w:val="2"/>
          <w:sz w:val="21"/>
          <w:szCs w:val="21"/>
        </w:rPr>
        <w:t>发生的符合本附加险合同约定的特许进口药品费用，保险人仍按照本附加险合同保险责任约定在乳腺恶性肿瘤特许进口药品费用保险金额内承担赔偿保险金的责任</w:t>
      </w:r>
      <w:r>
        <w:rPr>
          <w:rFonts w:hint="eastAsia" w:ascii="宋体" w:hAnsi="宋体" w:eastAsia="宋体" w:cs="宋体"/>
          <w:bCs/>
          <w:color w:val="000000"/>
          <w:szCs w:val="21"/>
        </w:rPr>
        <w:t>。</w:t>
      </w:r>
    </w:p>
    <w:p>
      <w:pPr>
        <w:pStyle w:val="27"/>
        <w:keepNext w:val="0"/>
        <w:keepLines w:val="0"/>
        <w:pageBreakBefore w:val="0"/>
        <w:widowControl w:val="0"/>
        <w:kinsoku/>
        <w:wordWrap/>
        <w:overflowPunct/>
        <w:topLinePunct w:val="0"/>
        <w:bidi w:val="0"/>
        <w:spacing w:line="360" w:lineRule="auto"/>
        <w:ind w:firstLine="422" w:firstLineChars="200"/>
        <w:textAlignment w:val="auto"/>
        <w:rPr>
          <w:b/>
          <w:bCs/>
          <w:color w:val="auto"/>
          <w:kern w:val="2"/>
          <w:sz w:val="21"/>
          <w:szCs w:val="21"/>
        </w:rPr>
      </w:pPr>
      <w:r>
        <w:rPr>
          <w:rFonts w:hint="eastAsia"/>
          <w:b/>
          <w:bCs/>
          <w:color w:val="auto"/>
          <w:kern w:val="2"/>
          <w:sz w:val="21"/>
          <w:szCs w:val="21"/>
        </w:rPr>
        <w:t>保险人一次或累计赔偿的乳腺恶性肿瘤特许进口药品费用保险金以本附加险合同保险单载明的乳腺恶性肿瘤特许进口药品费用保险金额为限，当一次或累计赔偿金额达到乳腺恶性肿瘤特许进口药品费用保险金额时，本项责任终止。如投保人未投保另一项责任，本附加险合同终止。</w:t>
      </w:r>
    </w:p>
    <w:p>
      <w:pPr>
        <w:pStyle w:val="13"/>
        <w:keepNext w:val="0"/>
        <w:keepLines w:val="0"/>
        <w:pageBreakBefore w:val="0"/>
        <w:widowControl w:val="0"/>
        <w:kinsoku/>
        <w:wordWrap/>
        <w:overflowPunct/>
        <w:topLinePunct w:val="0"/>
        <w:autoSpaceDE w:val="0"/>
        <w:autoSpaceDN w:val="0"/>
        <w:bidi w:val="0"/>
        <w:adjustRightInd w:val="0"/>
        <w:spacing w:line="360" w:lineRule="auto"/>
        <w:ind w:firstLine="422"/>
        <w:jc w:val="left"/>
        <w:textAlignment w:val="auto"/>
        <w:rPr>
          <w:rFonts w:asciiTheme="minorEastAsia" w:hAnsiTheme="minorEastAsia" w:cstheme="minorEastAsia"/>
          <w:b/>
          <w:bCs/>
        </w:rPr>
      </w:pPr>
      <w:r>
        <w:rPr>
          <w:rFonts w:hint="eastAsia" w:asciiTheme="minorEastAsia" w:hAnsiTheme="minorEastAsia" w:cstheme="minorEastAsia"/>
          <w:b/>
          <w:bCs/>
        </w:rPr>
        <w:t>第六条 本附加险合同适用医疗费用补偿原则。若被保险人已从其他途径（包括但不限于基本医疗保险（释义五）、公费医疗、工作单位、保险人在内的任何商业保险机构等）获得本附加险合同责任范围内的医疗费用补偿，则保险人仅对被保险人实际发生的医疗费用扣除其所获医疗费用补偿后的余额按照本附加险合同的约定进行赔付。基本医疗保险个人账户部分支出视为个人支付，不属于已获得的医疗费用补偿。</w:t>
      </w:r>
    </w:p>
    <w:p>
      <w:pPr>
        <w:pStyle w:val="13"/>
        <w:keepNext w:val="0"/>
        <w:keepLines w:val="0"/>
        <w:pageBreakBefore w:val="0"/>
        <w:widowControl w:val="0"/>
        <w:kinsoku/>
        <w:wordWrap/>
        <w:overflowPunct/>
        <w:topLinePunct w:val="0"/>
        <w:autoSpaceDE w:val="0"/>
        <w:autoSpaceDN w:val="0"/>
        <w:bidi w:val="0"/>
        <w:adjustRightInd w:val="0"/>
        <w:spacing w:line="360" w:lineRule="auto"/>
        <w:ind w:firstLine="422"/>
        <w:jc w:val="left"/>
        <w:textAlignment w:val="auto"/>
        <w:rPr>
          <w:rFonts w:asciiTheme="minorEastAsia" w:hAnsiTheme="minorEastAsia" w:cstheme="minorEastAsia"/>
          <w:b/>
          <w:bCs/>
        </w:rPr>
      </w:pPr>
      <w:r>
        <w:rPr>
          <w:rFonts w:hint="eastAsia" w:asciiTheme="minorEastAsia" w:hAnsiTheme="minorEastAsia" w:cstheme="minorEastAsia"/>
          <w:b/>
          <w:bCs/>
        </w:rPr>
        <w:t>第七条</w:t>
      </w:r>
      <w:r>
        <w:rPr>
          <w:rFonts w:hint="eastAsia" w:asciiTheme="minorEastAsia" w:hAnsiTheme="minorEastAsia" w:cstheme="minorEastAsia"/>
        </w:rPr>
        <w:t xml:space="preserve"> </w:t>
      </w:r>
      <w:r>
        <w:rPr>
          <w:rFonts w:hint="eastAsia" w:asciiTheme="minorEastAsia" w:hAnsiTheme="minorEastAsia" w:cstheme="minorEastAsia"/>
          <w:b/>
          <w:bCs/>
        </w:rPr>
        <w:t xml:space="preserve">本附加险合同免赔额的具体金额以及相关适用情况由投保人与保险人在订立本附加险合同时协商确定，并在保险单中载明。 </w:t>
      </w:r>
    </w:p>
    <w:p>
      <w:pPr>
        <w:pStyle w:val="13"/>
        <w:keepNext w:val="0"/>
        <w:keepLines w:val="0"/>
        <w:pageBreakBefore w:val="0"/>
        <w:widowControl w:val="0"/>
        <w:kinsoku/>
        <w:wordWrap/>
        <w:overflowPunct/>
        <w:topLinePunct w:val="0"/>
        <w:autoSpaceDE w:val="0"/>
        <w:autoSpaceDN w:val="0"/>
        <w:bidi w:val="0"/>
        <w:adjustRightInd w:val="0"/>
        <w:spacing w:line="360" w:lineRule="auto"/>
        <w:ind w:firstLine="422"/>
        <w:jc w:val="left"/>
        <w:textAlignment w:val="auto"/>
        <w:rPr>
          <w:rFonts w:asciiTheme="minorEastAsia" w:hAnsiTheme="minorEastAsia" w:cstheme="minorEastAsia"/>
          <w:b/>
          <w:bCs/>
        </w:rPr>
      </w:pPr>
      <w:r>
        <w:rPr>
          <w:rFonts w:hint="eastAsia" w:asciiTheme="minorEastAsia" w:hAnsiTheme="minorEastAsia" w:cstheme="minorEastAsia"/>
          <w:b/>
          <w:bCs/>
        </w:rPr>
        <w:t>本附加险合同的赔付比例由投保人和保险人在订立本附加险合同时约定，并在保险单中载明。</w:t>
      </w:r>
    </w:p>
    <w:p>
      <w:pPr>
        <w:pStyle w:val="13"/>
        <w:keepNext w:val="0"/>
        <w:keepLines w:val="0"/>
        <w:pageBreakBefore w:val="0"/>
        <w:widowControl w:val="0"/>
        <w:kinsoku/>
        <w:wordWrap/>
        <w:overflowPunct/>
        <w:topLinePunct w:val="0"/>
        <w:autoSpaceDE w:val="0"/>
        <w:autoSpaceDN w:val="0"/>
        <w:bidi w:val="0"/>
        <w:adjustRightInd w:val="0"/>
        <w:spacing w:line="360" w:lineRule="auto"/>
        <w:ind w:firstLine="422"/>
        <w:jc w:val="left"/>
        <w:textAlignment w:val="auto"/>
        <w:rPr>
          <w:rFonts w:asciiTheme="minorEastAsia" w:hAnsiTheme="minorEastAsia" w:cstheme="minorEastAsia"/>
        </w:rPr>
      </w:pPr>
      <w:r>
        <w:rPr>
          <w:rFonts w:hint="eastAsia" w:asciiTheme="minorEastAsia" w:hAnsiTheme="minorEastAsia" w:cstheme="minorEastAsia"/>
          <w:b/>
          <w:bCs/>
        </w:rPr>
        <w:t>若被保险人以参加基本医疗保险或公费医疗身份投保，但未以参加基本医疗保险或公费医疗身份就诊并结算的，则保险人根据本附加险合同单独约定的赔付比例进行给付</w:t>
      </w:r>
      <w:r>
        <w:rPr>
          <w:rFonts w:hint="eastAsia" w:asciiTheme="minorEastAsia" w:hAnsiTheme="minorEastAsia" w:cstheme="minorEastAsia"/>
        </w:rPr>
        <w:t>。</w:t>
      </w:r>
    </w:p>
    <w:p>
      <w:pPr>
        <w:pStyle w:val="13"/>
        <w:autoSpaceDE w:val="0"/>
        <w:autoSpaceDN w:val="0"/>
        <w:adjustRightInd w:val="0"/>
        <w:spacing w:before="156" w:beforeLines="50"/>
        <w:ind w:firstLine="0" w:firstLineChars="0"/>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责任免除</w:t>
      </w:r>
    </w:p>
    <w:p>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422"/>
        <w:jc w:val="left"/>
        <w:textAlignment w:val="auto"/>
        <w:rPr>
          <w:rFonts w:ascii="宋体" w:hAnsi="宋体" w:eastAsia="宋体" w:cs="宋体"/>
          <w:b/>
          <w:bCs/>
        </w:rPr>
      </w:pPr>
      <w:r>
        <w:rPr>
          <w:rFonts w:hint="eastAsia" w:ascii="宋体" w:hAnsi="宋体" w:eastAsia="宋体" w:cs="宋体"/>
          <w:b/>
          <w:bCs/>
          <w:color w:val="000000"/>
          <w:szCs w:val="21"/>
        </w:rPr>
        <w:t>第八条</w:t>
      </w:r>
      <w:r>
        <w:rPr>
          <w:rFonts w:hint="eastAsia" w:ascii="宋体" w:hAnsi="宋体" w:eastAsia="宋体" w:cs="宋体"/>
        </w:rPr>
        <w:t xml:space="preserve"> </w:t>
      </w:r>
      <w:r>
        <w:rPr>
          <w:rFonts w:hint="eastAsia" w:ascii="宋体" w:hAnsi="宋体" w:eastAsia="宋体" w:cs="宋体"/>
          <w:b/>
          <w:bCs/>
        </w:rPr>
        <w:t>对于被保险人在下列期间或因下列情形发生保险事故，或因保险事故产生的下列费用，保险人不承担赔偿保险金的责任：</w:t>
      </w:r>
    </w:p>
    <w:p>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422"/>
        <w:jc w:val="left"/>
        <w:textAlignment w:val="auto"/>
        <w:rPr>
          <w:rFonts w:ascii="宋体" w:hAnsi="宋体" w:eastAsia="宋体" w:cs="宋体"/>
          <w:b/>
          <w:bCs/>
        </w:rPr>
      </w:pPr>
      <w:r>
        <w:rPr>
          <w:rFonts w:hint="eastAsia" w:ascii="宋体" w:hAnsi="宋体" w:eastAsia="宋体" w:cs="宋体"/>
          <w:b/>
          <w:bCs/>
        </w:rPr>
        <w:t>（一）在中国大陆境外的国家或者地区接受治疗期间；</w:t>
      </w:r>
    </w:p>
    <w:p>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422"/>
        <w:jc w:val="left"/>
        <w:textAlignment w:val="auto"/>
        <w:rPr>
          <w:rFonts w:ascii="宋体" w:hAnsi="宋体" w:eastAsia="宋体" w:cs="宋体"/>
          <w:b/>
          <w:bCs/>
        </w:rPr>
      </w:pPr>
      <w:r>
        <w:rPr>
          <w:rFonts w:hint="eastAsia" w:ascii="宋体" w:hAnsi="宋体" w:eastAsia="宋体" w:cs="宋体"/>
          <w:b/>
          <w:bCs/>
        </w:rPr>
        <w:t>（二）被保险人仅有临床不适症状，入院诊断和出院诊断结果均不是乳腺恶性肿瘤首次复发的治疗；</w:t>
      </w:r>
    </w:p>
    <w:p>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422"/>
        <w:jc w:val="left"/>
        <w:textAlignment w:val="auto"/>
        <w:rPr>
          <w:rFonts w:ascii="宋体" w:hAnsi="宋体" w:eastAsia="宋体" w:cs="宋体"/>
          <w:b/>
          <w:bCs/>
        </w:rPr>
      </w:pPr>
      <w:r>
        <w:rPr>
          <w:rFonts w:hint="eastAsia" w:ascii="宋体" w:hAnsi="宋体" w:eastAsia="宋体" w:cs="宋体"/>
          <w:b/>
          <w:bCs/>
        </w:rPr>
        <w:t>（二）进行未经科学或者医学认可的试验性或者研究性治疗及其后果所产生的费用；</w:t>
      </w:r>
    </w:p>
    <w:p>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422"/>
        <w:jc w:val="left"/>
        <w:textAlignment w:val="auto"/>
        <w:rPr>
          <w:rFonts w:ascii="宋体" w:hAnsi="宋体" w:eastAsia="宋体" w:cs="宋体"/>
          <w:b/>
          <w:bCs/>
        </w:rPr>
      </w:pPr>
      <w:r>
        <w:rPr>
          <w:rFonts w:hint="eastAsia" w:ascii="宋体" w:hAnsi="宋体" w:eastAsia="宋体" w:cs="宋体"/>
          <w:b/>
          <w:bCs/>
        </w:rPr>
        <w:t>（三）被保险人未遵医嘱，私自服用、涂用或注射药品；</w:t>
      </w:r>
    </w:p>
    <w:p>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422"/>
        <w:jc w:val="left"/>
        <w:textAlignment w:val="auto"/>
        <w:rPr>
          <w:rFonts w:ascii="宋体" w:hAnsi="宋体" w:eastAsia="宋体" w:cs="宋体"/>
          <w:b/>
          <w:bCs/>
        </w:rPr>
      </w:pPr>
      <w:r>
        <w:rPr>
          <w:rFonts w:hint="eastAsia" w:ascii="宋体" w:hAnsi="宋体" w:eastAsia="宋体" w:cs="宋体"/>
          <w:b/>
          <w:bCs/>
        </w:rPr>
        <w:t>（四）被保险人未在保险人指定或认可的药店购买的药品；</w:t>
      </w:r>
    </w:p>
    <w:p>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422"/>
        <w:jc w:val="left"/>
        <w:textAlignment w:val="auto"/>
        <w:rPr>
          <w:rFonts w:ascii="宋体" w:hAnsi="宋体" w:eastAsia="宋体" w:cs="宋体"/>
          <w:b/>
          <w:bCs/>
        </w:rPr>
      </w:pPr>
      <w:r>
        <w:rPr>
          <w:rFonts w:hint="eastAsia" w:ascii="宋体" w:hAnsi="宋体" w:eastAsia="宋体" w:cs="宋体"/>
          <w:b/>
          <w:bCs/>
        </w:rPr>
        <w:t>（五）被保险人未按本附加险合同约定的流程进行购药申请，或经申请未审核通过；</w:t>
      </w:r>
    </w:p>
    <w:p>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422"/>
        <w:jc w:val="left"/>
        <w:textAlignment w:val="auto"/>
        <w:rPr>
          <w:rFonts w:ascii="宋体" w:hAnsi="宋体" w:eastAsia="宋体" w:cs="宋体"/>
          <w:b/>
          <w:bCs/>
        </w:rPr>
      </w:pPr>
      <w:r>
        <w:rPr>
          <w:rFonts w:hint="eastAsia" w:ascii="宋体" w:hAnsi="宋体" w:eastAsia="宋体" w:cs="宋体"/>
          <w:b/>
          <w:bCs/>
        </w:rPr>
        <w:t>（六）被保险人首次购买药品的日期不在保险期间内的；</w:t>
      </w:r>
    </w:p>
    <w:p>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422"/>
        <w:jc w:val="left"/>
        <w:textAlignment w:val="auto"/>
        <w:rPr>
          <w:rFonts w:ascii="宋体" w:hAnsi="宋体" w:eastAsia="宋体" w:cs="宋体"/>
          <w:b/>
          <w:bCs/>
        </w:rPr>
      </w:pPr>
      <w:r>
        <w:rPr>
          <w:rFonts w:hint="eastAsia" w:ascii="宋体" w:hAnsi="宋体" w:eastAsia="宋体" w:cs="宋体"/>
          <w:b/>
          <w:bCs/>
        </w:rPr>
        <w:t>（七）开具的药品处方与中国国家药品监督管理局批准的该药品说明书中所列明的适应症和用法用量不符；</w:t>
      </w:r>
    </w:p>
    <w:p>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422"/>
        <w:jc w:val="left"/>
        <w:textAlignment w:val="auto"/>
        <w:rPr>
          <w:rFonts w:ascii="宋体" w:hAnsi="宋体" w:eastAsia="宋体" w:cs="宋体"/>
          <w:b/>
          <w:bCs/>
        </w:rPr>
      </w:pPr>
      <w:r>
        <w:rPr>
          <w:rFonts w:hint="eastAsia" w:ascii="宋体" w:hAnsi="宋体" w:eastAsia="宋体" w:cs="宋体"/>
          <w:b/>
          <w:bCs/>
        </w:rPr>
        <w:t>（八）被保险人提交审核的医学材料不能证明该药品对被保险人当前的疾病状态产生有益的治疗疗效；</w:t>
      </w:r>
    </w:p>
    <w:p>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422"/>
        <w:jc w:val="left"/>
        <w:textAlignment w:val="auto"/>
        <w:rPr>
          <w:rFonts w:ascii="宋体" w:hAnsi="宋体" w:eastAsia="宋体" w:cs="宋体"/>
          <w:b/>
          <w:bCs/>
        </w:rPr>
      </w:pPr>
      <w:r>
        <w:rPr>
          <w:rFonts w:hint="eastAsia" w:ascii="宋体" w:hAnsi="宋体" w:eastAsia="宋体" w:cs="宋体"/>
          <w:b/>
          <w:bCs/>
        </w:rPr>
        <w:t>（九）被保险人患精神和行为障碍（以世界卫生组织颁布的《疾病和有关健康问题的国际统计分类》第十次修订版（ICD-10）为准）期间；</w:t>
      </w:r>
    </w:p>
    <w:p>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422"/>
        <w:jc w:val="left"/>
        <w:textAlignment w:val="auto"/>
        <w:rPr>
          <w:rFonts w:ascii="宋体" w:hAnsi="宋体" w:eastAsia="宋体" w:cs="宋体"/>
          <w:b/>
          <w:bCs/>
        </w:rPr>
      </w:pPr>
      <w:r>
        <w:rPr>
          <w:rFonts w:hint="eastAsia" w:ascii="宋体" w:hAnsi="宋体" w:eastAsia="宋体" w:cs="宋体"/>
          <w:b/>
          <w:bCs/>
        </w:rPr>
        <w:t>（十）被保险人在投保时未如实告知既往疾病；</w:t>
      </w:r>
    </w:p>
    <w:p>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422"/>
        <w:jc w:val="left"/>
        <w:textAlignment w:val="auto"/>
        <w:rPr>
          <w:rFonts w:ascii="宋体" w:hAnsi="宋体" w:eastAsia="宋体" w:cs="宋体"/>
          <w:b/>
          <w:bCs/>
        </w:rPr>
      </w:pPr>
      <w:r>
        <w:rPr>
          <w:rFonts w:hint="eastAsia" w:ascii="宋体" w:hAnsi="宋体" w:eastAsia="宋体" w:cs="宋体"/>
          <w:b/>
          <w:bCs/>
        </w:rPr>
        <w:t>（十一）任何职业病、遗传性疾病，先天性畸形、变形或染色体异常（以世界卫生组织颁布的《疾病和有关健康问题的国际统计分类》第十次修订版（ICD-10）为准）引起的医疗费用；</w:t>
      </w:r>
    </w:p>
    <w:p>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422"/>
        <w:jc w:val="left"/>
        <w:textAlignment w:val="auto"/>
        <w:rPr>
          <w:rFonts w:ascii="宋体" w:hAnsi="宋体" w:eastAsia="宋体" w:cs="宋体"/>
          <w:b/>
          <w:bCs/>
        </w:rPr>
      </w:pPr>
      <w:r>
        <w:rPr>
          <w:rFonts w:hint="eastAsia" w:ascii="宋体" w:hAnsi="宋体" w:eastAsia="宋体" w:cs="宋体"/>
          <w:b/>
          <w:bCs/>
        </w:rPr>
        <w:t>（十二）主险合同列明的责任免除条款适用于本附加险合同。</w:t>
      </w:r>
    </w:p>
    <w:bookmarkEnd w:id="1"/>
    <w:p>
      <w:pPr>
        <w:pStyle w:val="13"/>
        <w:autoSpaceDE w:val="0"/>
        <w:autoSpaceDN w:val="0"/>
        <w:adjustRightInd w:val="0"/>
        <w:spacing w:before="156" w:beforeLines="50"/>
        <w:ind w:firstLine="0" w:firstLineChars="0"/>
        <w:jc w:val="center"/>
        <w:rPr>
          <w:rFonts w:ascii="宋体" w:hAnsi="宋体" w:eastAsia="宋体" w:cs="宋体"/>
          <w:b/>
          <w:szCs w:val="21"/>
        </w:rPr>
      </w:pPr>
      <w:r>
        <w:rPr>
          <w:rFonts w:hint="eastAsia" w:ascii="宋体" w:hAnsi="宋体" w:eastAsia="宋体" w:cs="宋体"/>
          <w:b/>
          <w:szCs w:val="21"/>
        </w:rPr>
        <w:t>保险金额和保险费</w:t>
      </w:r>
    </w:p>
    <w:p>
      <w:pPr>
        <w:pStyle w:val="13"/>
        <w:autoSpaceDE w:val="0"/>
        <w:autoSpaceDN w:val="0"/>
        <w:adjustRightInd w:val="0"/>
        <w:spacing w:line="360" w:lineRule="auto"/>
        <w:ind w:firstLine="422"/>
        <w:jc w:val="left"/>
        <w:rPr>
          <w:rFonts w:ascii="宋体" w:hAnsi="宋体" w:eastAsia="宋体" w:cs="宋体"/>
          <w:szCs w:val="21"/>
        </w:rPr>
      </w:pPr>
      <w:r>
        <w:rPr>
          <w:rFonts w:hint="eastAsia" w:ascii="宋体" w:hAnsi="宋体" w:eastAsia="宋体" w:cs="宋体"/>
          <w:b/>
          <w:bCs/>
        </w:rPr>
        <w:t xml:space="preserve">第九条 </w:t>
      </w:r>
      <w:r>
        <w:rPr>
          <w:rFonts w:hint="eastAsia" w:ascii="宋体" w:hAnsi="宋体" w:eastAsia="宋体" w:cs="宋体"/>
          <w:szCs w:val="21"/>
        </w:rPr>
        <w:t>保险金额是保险人承担赔偿或者给付保险金责任的最高限额。本附加险合同的保险金额由投保人与保险人协商确定，并在保险单中载明。</w:t>
      </w:r>
    </w:p>
    <w:p>
      <w:pPr>
        <w:numPr>
          <w:ilvl w:val="255"/>
          <w:numId w:val="0"/>
        </w:numPr>
        <w:adjustRightInd w:val="0"/>
        <w:snapToGrid w:val="0"/>
        <w:spacing w:line="360" w:lineRule="auto"/>
        <w:ind w:firstLine="422" w:firstLineChars="200"/>
        <w:rPr>
          <w:rFonts w:ascii="宋体" w:hAnsi="宋体" w:eastAsia="宋体" w:cs="宋体"/>
          <w:bCs/>
          <w:kern w:val="0"/>
          <w:szCs w:val="21"/>
        </w:rPr>
      </w:pPr>
      <w:r>
        <w:rPr>
          <w:rFonts w:hint="eastAsia" w:ascii="宋体" w:hAnsi="宋体" w:eastAsia="宋体" w:cs="宋体"/>
          <w:b/>
          <w:bCs/>
          <w:szCs w:val="21"/>
        </w:rPr>
        <w:t>第十条</w:t>
      </w:r>
      <w:r>
        <w:rPr>
          <w:rFonts w:hint="eastAsia" w:ascii="宋体" w:hAnsi="宋体" w:eastAsia="宋体" w:cs="宋体"/>
          <w:szCs w:val="21"/>
        </w:rPr>
        <w:t xml:space="preserve"> </w:t>
      </w:r>
      <w:r>
        <w:rPr>
          <w:rFonts w:hint="eastAsia" w:ascii="宋体" w:hAnsi="宋体" w:eastAsia="宋体" w:cs="宋体"/>
          <w:bCs/>
          <w:kern w:val="0"/>
          <w:szCs w:val="21"/>
        </w:rPr>
        <w:t>本附加险合同</w:t>
      </w:r>
      <w:r>
        <w:rPr>
          <w:rFonts w:ascii="宋体" w:hAnsi="宋体" w:eastAsia="宋体" w:cs="宋体"/>
          <w:bCs/>
          <w:kern w:val="0"/>
          <w:szCs w:val="21"/>
        </w:rPr>
        <w:t>的保险费由保险人根据保险金额、保险期间及具体风险状况等确定，并在保险单中载明。投保人应该按照</w:t>
      </w:r>
      <w:r>
        <w:rPr>
          <w:rFonts w:hint="eastAsia" w:ascii="宋体" w:hAnsi="宋体" w:eastAsia="宋体" w:cs="宋体"/>
          <w:bCs/>
          <w:kern w:val="0"/>
          <w:szCs w:val="21"/>
        </w:rPr>
        <w:t>本附加险合同</w:t>
      </w:r>
      <w:r>
        <w:rPr>
          <w:rFonts w:ascii="宋体" w:hAnsi="宋体" w:eastAsia="宋体" w:cs="宋体"/>
          <w:bCs/>
          <w:kern w:val="0"/>
          <w:szCs w:val="21"/>
        </w:rPr>
        <w:t>约定向保险人交纳保险费。</w:t>
      </w:r>
    </w:p>
    <w:p>
      <w:pPr>
        <w:pStyle w:val="13"/>
        <w:autoSpaceDE w:val="0"/>
        <w:autoSpaceDN w:val="0"/>
        <w:adjustRightInd w:val="0"/>
        <w:spacing w:before="156" w:beforeLines="50"/>
        <w:ind w:firstLine="0" w:firstLineChars="0"/>
        <w:jc w:val="center"/>
        <w:rPr>
          <w:rFonts w:ascii="宋体" w:hAnsi="宋体" w:eastAsia="宋体" w:cs="宋体"/>
          <w:b/>
          <w:szCs w:val="21"/>
        </w:rPr>
      </w:pPr>
      <w:r>
        <w:rPr>
          <w:rFonts w:hint="eastAsia" w:ascii="宋体" w:hAnsi="宋体" w:eastAsia="宋体" w:cs="宋体"/>
          <w:b/>
          <w:szCs w:val="21"/>
        </w:rPr>
        <w:t>保险期间</w:t>
      </w:r>
    </w:p>
    <w:p>
      <w:pPr>
        <w:spacing w:line="360" w:lineRule="auto"/>
        <w:ind w:firstLine="422" w:firstLineChars="200"/>
        <w:jc w:val="left"/>
        <w:rPr>
          <w:rFonts w:ascii="宋体" w:hAnsi="宋体" w:eastAsia="宋体" w:cs="宋体"/>
          <w:szCs w:val="21"/>
        </w:rPr>
      </w:pPr>
      <w:r>
        <w:rPr>
          <w:rFonts w:hint="eastAsia" w:ascii="宋体" w:hAnsi="宋体" w:eastAsia="宋体" w:cs="宋体"/>
          <w:b/>
          <w:bCs/>
          <w:szCs w:val="21"/>
        </w:rPr>
        <w:t xml:space="preserve">第十一条 </w:t>
      </w:r>
      <w:r>
        <w:rPr>
          <w:rFonts w:hint="eastAsia" w:ascii="宋体" w:hAnsi="宋体" w:eastAsia="宋体" w:cs="宋体"/>
          <w:szCs w:val="21"/>
        </w:rPr>
        <w:t>本附加险合同的保险期间与主险合同一致，最长不超过一年。</w:t>
      </w:r>
    </w:p>
    <w:p>
      <w:pPr>
        <w:spacing w:line="360" w:lineRule="auto"/>
        <w:ind w:firstLine="422" w:firstLineChars="200"/>
        <w:jc w:val="left"/>
        <w:rPr>
          <w:rFonts w:ascii="宋体" w:hAnsi="宋体" w:eastAsia="宋体" w:cs="宋体"/>
          <w:b/>
          <w:bCs/>
          <w:szCs w:val="21"/>
        </w:rPr>
      </w:pPr>
      <w:r>
        <w:rPr>
          <w:rFonts w:hint="eastAsia" w:ascii="宋体" w:hAnsi="宋体" w:eastAsia="宋体" w:cs="宋体"/>
          <w:b/>
          <w:bCs/>
          <w:szCs w:val="21"/>
        </w:rPr>
        <w:t>本附加险合同为不保证续保合同，保险期间不超过一年。保险期间届满，投保人可以重新向保险公司申请投保本附加险合同，并经保险人同意，交纳保险费，获得新的附加险合同。</w:t>
      </w:r>
    </w:p>
    <w:p>
      <w:pPr>
        <w:pStyle w:val="13"/>
        <w:autoSpaceDE w:val="0"/>
        <w:autoSpaceDN w:val="0"/>
        <w:adjustRightInd w:val="0"/>
        <w:spacing w:before="156" w:beforeLines="50"/>
        <w:ind w:firstLine="0" w:firstLineChars="0"/>
        <w:jc w:val="center"/>
        <w:rPr>
          <w:rFonts w:ascii="宋体" w:hAnsi="宋体" w:eastAsia="宋体" w:cs="宋体"/>
          <w:b/>
          <w:bCs/>
          <w:szCs w:val="21"/>
        </w:rPr>
      </w:pPr>
      <w:r>
        <w:rPr>
          <w:rFonts w:hint="eastAsia" w:ascii="宋体" w:hAnsi="宋体" w:eastAsia="宋体" w:cs="宋体"/>
          <w:b/>
          <w:bCs/>
          <w:color w:val="000000"/>
          <w:szCs w:val="21"/>
        </w:rPr>
        <w:t>授权申请、</w:t>
      </w:r>
      <w:r>
        <w:rPr>
          <w:rFonts w:hint="eastAsia" w:ascii="宋体" w:hAnsi="宋体" w:eastAsia="宋体" w:cs="宋体"/>
          <w:b/>
          <w:bCs/>
          <w:szCs w:val="21"/>
        </w:rPr>
        <w:t>药品处方审核及购药流程</w:t>
      </w:r>
    </w:p>
    <w:p>
      <w:pPr>
        <w:widowControl/>
        <w:autoSpaceDE w:val="0"/>
        <w:autoSpaceDN w:val="0"/>
        <w:spacing w:line="360" w:lineRule="auto"/>
        <w:ind w:firstLine="420"/>
        <w:jc w:val="left"/>
        <w:rPr>
          <w:rFonts w:ascii="宋体" w:hAnsi="宋体" w:eastAsia="宋体" w:cs="宋体"/>
          <w:color w:val="000000"/>
          <w:kern w:val="0"/>
          <w:szCs w:val="21"/>
        </w:rPr>
      </w:pPr>
      <w:r>
        <w:rPr>
          <w:rFonts w:hint="eastAsia" w:ascii="宋体" w:hAnsi="宋体" w:eastAsia="宋体" w:cs="宋体"/>
          <w:b/>
          <w:bCs/>
          <w:color w:val="000000"/>
          <w:kern w:val="0"/>
          <w:szCs w:val="21"/>
        </w:rPr>
        <w:t>第十二条</w:t>
      </w:r>
      <w:r>
        <w:rPr>
          <w:rFonts w:hint="eastAsia" w:ascii="宋体" w:hAnsi="宋体" w:eastAsia="宋体" w:cs="宋体"/>
          <w:color w:val="000000"/>
          <w:kern w:val="0"/>
          <w:szCs w:val="21"/>
        </w:rPr>
        <w:t xml:space="preserve"> 在保险期间内，如果被保险人需在保险人指定药店购买专科医生开具的药品处方中所列明的药品，需按照以下流程进行授权申请、药品处方审核和药品购买：</w:t>
      </w:r>
    </w:p>
    <w:p>
      <w:pPr>
        <w:widowControl/>
        <w:autoSpaceDE w:val="0"/>
        <w:autoSpaceDN w:val="0"/>
        <w:spacing w:line="360" w:lineRule="auto"/>
        <w:ind w:firstLine="422"/>
        <w:jc w:val="left"/>
        <w:rPr>
          <w:rFonts w:ascii="宋体" w:hAnsi="宋体" w:eastAsia="宋体" w:cs="宋体"/>
          <w:b/>
          <w:bCs/>
          <w:color w:val="000000"/>
          <w:kern w:val="0"/>
          <w:szCs w:val="21"/>
        </w:rPr>
      </w:pPr>
      <w:r>
        <w:rPr>
          <w:rFonts w:hint="eastAsia" w:ascii="宋体" w:hAnsi="宋体" w:eastAsia="宋体" w:cs="宋体"/>
          <w:b/>
          <w:bCs/>
          <w:color w:val="000000"/>
          <w:kern w:val="0"/>
          <w:szCs w:val="21"/>
        </w:rPr>
        <w:t>1、授权申请和药品处方审核：</w:t>
      </w:r>
    </w:p>
    <w:p>
      <w:pPr>
        <w:widowControl/>
        <w:autoSpaceDE w:val="0"/>
        <w:autoSpaceDN w:val="0"/>
        <w:spacing w:line="360" w:lineRule="auto"/>
        <w:ind w:firstLine="422"/>
        <w:jc w:val="left"/>
        <w:rPr>
          <w:rFonts w:ascii="宋体" w:hAnsi="宋体" w:eastAsia="宋体" w:cs="宋体"/>
          <w:color w:val="000000"/>
          <w:kern w:val="0"/>
          <w:szCs w:val="21"/>
        </w:rPr>
      </w:pPr>
      <w:r>
        <w:rPr>
          <w:rFonts w:hint="eastAsia" w:ascii="宋体" w:hAnsi="宋体" w:eastAsia="宋体" w:cs="宋体"/>
          <w:kern w:val="0"/>
          <w:szCs w:val="21"/>
        </w:rPr>
        <w:t>保险金申请人</w:t>
      </w:r>
      <w:r>
        <w:rPr>
          <w:rFonts w:hint="eastAsia" w:ascii="宋体" w:hAnsi="宋体" w:eastAsia="宋体" w:cs="宋体"/>
          <w:color w:val="000000"/>
          <w:kern w:val="0"/>
          <w:szCs w:val="21"/>
        </w:rPr>
        <w:t>向保险人提交保险人指定或认可的药店购买药品授权申请（以下简称“授权申请”），并提供下列授权申请材料：</w:t>
      </w:r>
    </w:p>
    <w:p>
      <w:pPr>
        <w:widowControl/>
        <w:autoSpaceDE w:val="0"/>
        <w:autoSpaceDN w:val="0"/>
        <w:spacing w:line="360" w:lineRule="auto"/>
        <w:ind w:firstLine="420"/>
        <w:jc w:val="left"/>
        <w:rPr>
          <w:rFonts w:ascii="宋体" w:hAnsi="宋体" w:eastAsia="宋体" w:cs="宋体"/>
          <w:color w:val="000000"/>
          <w:kern w:val="0"/>
          <w:szCs w:val="21"/>
        </w:rPr>
      </w:pPr>
      <w:r>
        <w:rPr>
          <w:rFonts w:hint="eastAsia" w:ascii="宋体" w:hAnsi="宋体" w:eastAsia="宋体" w:cs="宋体"/>
          <w:color w:val="000000"/>
          <w:kern w:val="0"/>
          <w:szCs w:val="21"/>
        </w:rPr>
        <w:t>（1）保险金给付申请书；</w:t>
      </w:r>
    </w:p>
    <w:p>
      <w:pPr>
        <w:widowControl/>
        <w:autoSpaceDE w:val="0"/>
        <w:autoSpaceDN w:val="0"/>
        <w:spacing w:line="360" w:lineRule="auto"/>
        <w:ind w:firstLine="420"/>
        <w:jc w:val="left"/>
        <w:rPr>
          <w:rFonts w:ascii="宋体" w:hAnsi="宋体" w:eastAsia="宋体" w:cs="宋体"/>
          <w:color w:val="000000"/>
          <w:kern w:val="0"/>
          <w:szCs w:val="21"/>
        </w:rPr>
      </w:pPr>
      <w:r>
        <w:rPr>
          <w:rFonts w:hint="eastAsia" w:ascii="宋体" w:hAnsi="宋体" w:eastAsia="宋体" w:cs="宋体"/>
          <w:color w:val="000000"/>
          <w:kern w:val="0"/>
          <w:szCs w:val="21"/>
        </w:rPr>
        <w:t>（2）被保险人的</w:t>
      </w:r>
      <w:r>
        <w:rPr>
          <w:rFonts w:hint="eastAsia" w:ascii="宋体" w:hAnsi="宋体" w:eastAsia="宋体" w:cs="宋体"/>
          <w:b/>
          <w:bCs/>
          <w:color w:val="000000"/>
          <w:kern w:val="0"/>
          <w:szCs w:val="21"/>
        </w:rPr>
        <w:t>有效身份证件（释义六）</w:t>
      </w:r>
      <w:r>
        <w:rPr>
          <w:rFonts w:hint="eastAsia" w:ascii="宋体" w:hAnsi="宋体" w:eastAsia="宋体" w:cs="宋体"/>
          <w:color w:val="000000"/>
          <w:kern w:val="0"/>
          <w:szCs w:val="21"/>
        </w:rPr>
        <w:t>；</w:t>
      </w:r>
    </w:p>
    <w:p>
      <w:pPr>
        <w:widowControl/>
        <w:autoSpaceDE w:val="0"/>
        <w:autoSpaceDN w:val="0"/>
        <w:spacing w:line="360" w:lineRule="auto"/>
        <w:ind w:firstLine="420"/>
        <w:jc w:val="left"/>
        <w:rPr>
          <w:rFonts w:ascii="宋体" w:hAnsi="宋体" w:eastAsia="宋体" w:cs="宋体"/>
          <w:color w:val="000000"/>
          <w:kern w:val="0"/>
          <w:szCs w:val="21"/>
        </w:rPr>
      </w:pPr>
      <w:r>
        <w:rPr>
          <w:rFonts w:hint="eastAsia" w:ascii="宋体" w:hAnsi="宋体" w:eastAsia="宋体" w:cs="宋体"/>
          <w:color w:val="000000"/>
          <w:kern w:val="0"/>
          <w:szCs w:val="21"/>
        </w:rPr>
        <w:t>（3）支持审核的全部证明、信息和材料，包括但不限于医院出具的门诊及住院病历资料、 医学诊断书、病理检查报告、影像报告、检查化验报告、医疗费用原始单据</w:t>
      </w:r>
      <w:r>
        <w:rPr>
          <w:rFonts w:hint="eastAsia" w:ascii="宋体" w:hAnsi="宋体" w:eastAsia="宋体" w:cs="宋体"/>
          <w:kern w:val="0"/>
          <w:szCs w:val="21"/>
        </w:rPr>
        <w:t>（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w:t>
      </w:r>
      <w:r>
        <w:rPr>
          <w:rFonts w:hint="eastAsia" w:ascii="宋体" w:hAnsi="宋体" w:eastAsia="宋体" w:cs="宋体"/>
          <w:color w:val="000000"/>
          <w:kern w:val="0"/>
          <w:szCs w:val="21"/>
        </w:rPr>
        <w:t>、费用明细单据等原件。保险金申请人因特殊原因不能提供上述材料的，应提供其他合法有效的材料；</w:t>
      </w:r>
    </w:p>
    <w:p>
      <w:pPr>
        <w:widowControl/>
        <w:autoSpaceDE w:val="0"/>
        <w:autoSpaceDN w:val="0"/>
        <w:spacing w:line="360" w:lineRule="auto"/>
        <w:ind w:firstLine="420"/>
        <w:jc w:val="left"/>
        <w:rPr>
          <w:rFonts w:ascii="宋体" w:hAnsi="宋体" w:eastAsia="宋体" w:cs="宋体"/>
          <w:color w:val="000000"/>
          <w:kern w:val="0"/>
          <w:szCs w:val="21"/>
        </w:rPr>
      </w:pPr>
      <w:r>
        <w:rPr>
          <w:rFonts w:hint="eastAsia" w:ascii="宋体" w:hAnsi="宋体" w:eastAsia="宋体" w:cs="宋体"/>
          <w:color w:val="000000"/>
          <w:kern w:val="0"/>
          <w:szCs w:val="21"/>
        </w:rPr>
        <w:t>（4）专科医生开具的药品处方；</w:t>
      </w:r>
    </w:p>
    <w:p>
      <w:pPr>
        <w:widowControl/>
        <w:autoSpaceDE w:val="0"/>
        <w:autoSpaceDN w:val="0"/>
        <w:spacing w:line="360" w:lineRule="auto"/>
        <w:ind w:firstLine="420"/>
        <w:jc w:val="left"/>
        <w:rPr>
          <w:rFonts w:ascii="宋体" w:hAnsi="宋体" w:eastAsia="宋体" w:cs="宋体"/>
          <w:color w:val="000000"/>
          <w:kern w:val="0"/>
          <w:szCs w:val="21"/>
        </w:rPr>
      </w:pPr>
      <w:r>
        <w:rPr>
          <w:rFonts w:hint="eastAsia" w:ascii="宋体" w:hAnsi="宋体" w:eastAsia="宋体" w:cs="宋体"/>
          <w:color w:val="000000"/>
          <w:kern w:val="0"/>
          <w:szCs w:val="21"/>
        </w:rPr>
        <w:t>（5）医院开具的外购药证明；</w:t>
      </w:r>
    </w:p>
    <w:p>
      <w:pPr>
        <w:widowControl/>
        <w:autoSpaceDE w:val="0"/>
        <w:autoSpaceDN w:val="0"/>
        <w:spacing w:line="360" w:lineRule="auto"/>
        <w:ind w:firstLine="420"/>
        <w:jc w:val="left"/>
        <w:rPr>
          <w:rFonts w:ascii="宋体" w:hAnsi="宋体" w:eastAsia="宋体" w:cs="宋体"/>
          <w:color w:val="000000"/>
          <w:kern w:val="0"/>
          <w:szCs w:val="21"/>
        </w:rPr>
      </w:pPr>
      <w:r>
        <w:rPr>
          <w:rFonts w:hint="eastAsia" w:ascii="宋体" w:hAnsi="宋体" w:eastAsia="宋体" w:cs="宋体"/>
          <w:color w:val="000000"/>
          <w:kern w:val="0"/>
          <w:szCs w:val="21"/>
        </w:rPr>
        <w:t>（6）保险金申请人所能提供的与确认保险事故性质、原因、损失程度等有关的其他证明和资料；</w:t>
      </w:r>
    </w:p>
    <w:p>
      <w:pPr>
        <w:widowControl/>
        <w:autoSpaceDE w:val="0"/>
        <w:autoSpaceDN w:val="0"/>
        <w:spacing w:line="360" w:lineRule="auto"/>
        <w:ind w:firstLine="420"/>
        <w:jc w:val="left"/>
        <w:rPr>
          <w:rFonts w:ascii="宋体" w:hAnsi="宋体" w:eastAsia="宋体" w:cs="宋体"/>
          <w:color w:val="000000"/>
          <w:kern w:val="0"/>
          <w:szCs w:val="21"/>
        </w:rPr>
      </w:pPr>
      <w:r>
        <w:rPr>
          <w:rFonts w:hint="eastAsia" w:ascii="宋体" w:hAnsi="宋体" w:eastAsia="宋体" w:cs="宋体"/>
          <w:color w:val="000000"/>
          <w:kern w:val="0"/>
          <w:szCs w:val="21"/>
        </w:rPr>
        <w:t>（7）若保险金申请人委托他人申请的，还应提供保险金转账授权书原件、委托人和受托人的身份证明等相关证明文件。受益人为无民事行为能力人或者限制民事行为能力人的，由其监护人代为申领保险金，并需要提供监护人的身份证明等材料。</w:t>
      </w:r>
    </w:p>
    <w:p>
      <w:pPr>
        <w:widowControl/>
        <w:autoSpaceDE w:val="0"/>
        <w:autoSpaceDN w:val="0"/>
        <w:spacing w:line="360" w:lineRule="auto"/>
        <w:ind w:firstLine="420"/>
        <w:jc w:val="left"/>
        <w:rPr>
          <w:rFonts w:ascii="宋体" w:hAnsi="宋体" w:eastAsia="宋体" w:cs="宋体"/>
          <w:color w:val="000000"/>
          <w:kern w:val="0"/>
          <w:szCs w:val="21"/>
        </w:rPr>
      </w:pPr>
      <w:r>
        <w:rPr>
          <w:rFonts w:hint="eastAsia" w:ascii="宋体" w:hAnsi="宋体" w:eastAsia="宋体" w:cs="宋体"/>
          <w:color w:val="000000"/>
          <w:kern w:val="0"/>
          <w:szCs w:val="21"/>
        </w:rPr>
        <w:t>保险人基于提交的资料进行药品处方审核。若保险金申请人提交的相关材料不足以支持药品处方审核，或者医学材料中相关的科学方法检验报告结果不支持药品处方的开具，保险人有权要求并一次性通知保险金申请人补充提供有关证明和资料。</w:t>
      </w:r>
    </w:p>
    <w:p>
      <w:pPr>
        <w:widowControl/>
        <w:spacing w:line="360" w:lineRule="auto"/>
        <w:ind w:firstLine="422"/>
        <w:jc w:val="left"/>
        <w:rPr>
          <w:rFonts w:ascii="宋体" w:hAnsi="宋体" w:eastAsia="宋体" w:cs="宋体"/>
          <w:b/>
          <w:bCs/>
          <w:color w:val="000000"/>
          <w:kern w:val="0"/>
          <w:szCs w:val="21"/>
        </w:rPr>
      </w:pPr>
      <w:r>
        <w:rPr>
          <w:rFonts w:hint="eastAsia" w:ascii="宋体" w:hAnsi="宋体" w:eastAsia="宋体" w:cs="宋体"/>
          <w:b/>
          <w:bCs/>
          <w:color w:val="000000"/>
          <w:kern w:val="0"/>
          <w:szCs w:val="21"/>
        </w:rPr>
        <w:t>如果保险金申请人未提交授权申请或者处方审核未通过，保险人不承担赔偿乳腺恶性肿瘤特种药品费用保险金、乳腺恶性肿瘤特许进口药品费用保险金的责任。</w:t>
      </w:r>
    </w:p>
    <w:p>
      <w:pPr>
        <w:widowControl/>
        <w:autoSpaceDE w:val="0"/>
        <w:autoSpaceDN w:val="0"/>
        <w:spacing w:line="360" w:lineRule="auto"/>
        <w:ind w:firstLine="422"/>
        <w:jc w:val="left"/>
        <w:rPr>
          <w:rFonts w:ascii="宋体" w:hAnsi="宋体" w:eastAsia="宋体" w:cs="宋体"/>
          <w:b/>
          <w:bCs/>
          <w:color w:val="000000"/>
          <w:kern w:val="0"/>
          <w:szCs w:val="21"/>
        </w:rPr>
      </w:pPr>
      <w:r>
        <w:rPr>
          <w:rFonts w:hint="eastAsia" w:ascii="宋体" w:hAnsi="宋体" w:eastAsia="宋体" w:cs="宋体"/>
          <w:b/>
          <w:bCs/>
          <w:color w:val="000000"/>
          <w:kern w:val="0"/>
          <w:szCs w:val="21"/>
        </w:rPr>
        <w:t>2、药品购买</w:t>
      </w:r>
    </w:p>
    <w:p>
      <w:pPr>
        <w:widowControl/>
        <w:autoSpaceDE w:val="0"/>
        <w:autoSpaceDN w:val="0"/>
        <w:spacing w:line="360" w:lineRule="auto"/>
        <w:ind w:firstLine="420"/>
        <w:jc w:val="left"/>
        <w:rPr>
          <w:rFonts w:ascii="宋体" w:hAnsi="宋体" w:eastAsia="宋体" w:cs="宋体"/>
          <w:color w:val="000000"/>
          <w:kern w:val="0"/>
          <w:szCs w:val="21"/>
        </w:rPr>
      </w:pPr>
      <w:r>
        <w:rPr>
          <w:rFonts w:hint="eastAsia" w:ascii="宋体" w:hAnsi="宋体" w:eastAsia="宋体" w:cs="宋体"/>
          <w:color w:val="000000"/>
          <w:kern w:val="0"/>
          <w:szCs w:val="21"/>
        </w:rPr>
        <w:t>药品授权申请及药品处方经保险人审核通过后，保险金申请人应携带药品处方及被保险人的有效身份证件到保险人指定或认可的药店购买药品。</w:t>
      </w:r>
    </w:p>
    <w:p>
      <w:pPr>
        <w:widowControl/>
        <w:autoSpaceDE w:val="0"/>
        <w:autoSpaceDN w:val="0"/>
        <w:spacing w:line="360" w:lineRule="auto"/>
        <w:ind w:firstLine="420"/>
        <w:jc w:val="left"/>
        <w:rPr>
          <w:rFonts w:ascii="宋体" w:hAnsi="宋体" w:eastAsia="宋体" w:cs="宋体"/>
          <w:color w:val="000000"/>
          <w:kern w:val="0"/>
          <w:szCs w:val="21"/>
        </w:rPr>
      </w:pPr>
      <w:r>
        <w:rPr>
          <w:rFonts w:hint="eastAsia" w:ascii="宋体" w:hAnsi="宋体" w:eastAsia="宋体" w:cs="宋体"/>
          <w:color w:val="000000"/>
          <w:kern w:val="0"/>
          <w:szCs w:val="21"/>
        </w:rPr>
        <w:t>保险金申请人通过保险人指定或认可的药店购买药品时，保险金申请人应将申请保险金的权利转让给药店或保险人指定的</w:t>
      </w:r>
      <w:r>
        <w:rPr>
          <w:rFonts w:hint="eastAsia" w:ascii="宋体" w:hAnsi="宋体" w:eastAsia="宋体" w:cs="宋体"/>
          <w:b/>
          <w:bCs/>
          <w:color w:val="000000"/>
          <w:kern w:val="0"/>
          <w:szCs w:val="21"/>
        </w:rPr>
        <w:t>第三方服务商（释义七）</w:t>
      </w:r>
      <w:r>
        <w:rPr>
          <w:rFonts w:hint="eastAsia" w:ascii="宋体" w:hAnsi="宋体" w:eastAsia="宋体" w:cs="宋体"/>
          <w:color w:val="000000"/>
          <w:kern w:val="0"/>
          <w:szCs w:val="21"/>
        </w:rPr>
        <w:t>，由保险人与药店或保险人指定的第三方服务商直接结算药品，</w:t>
      </w:r>
      <w:r>
        <w:rPr>
          <w:rFonts w:hint="eastAsia" w:ascii="宋体" w:hAnsi="宋体" w:eastAsia="宋体" w:cs="宋体"/>
          <w:b/>
          <w:bCs/>
          <w:color w:val="000000"/>
          <w:kern w:val="0"/>
          <w:szCs w:val="21"/>
        </w:rPr>
        <w:t>但保险金申请人应自行支付不属于保险责任范围内的其他费用</w:t>
      </w:r>
      <w:r>
        <w:rPr>
          <w:rFonts w:hint="eastAsia" w:ascii="宋体" w:hAnsi="宋体" w:eastAsia="宋体" w:cs="宋体"/>
          <w:color w:val="000000"/>
          <w:kern w:val="0"/>
          <w:szCs w:val="21"/>
        </w:rPr>
        <w:t>。</w:t>
      </w:r>
    </w:p>
    <w:p>
      <w:pPr>
        <w:pStyle w:val="13"/>
        <w:autoSpaceDE w:val="0"/>
        <w:autoSpaceDN w:val="0"/>
        <w:adjustRightInd w:val="0"/>
        <w:spacing w:before="156" w:beforeLines="50"/>
        <w:ind w:firstLine="0" w:firstLineChars="0"/>
        <w:jc w:val="center"/>
        <w:rPr>
          <w:rFonts w:ascii="宋体" w:hAnsi="宋体" w:eastAsia="宋体" w:cs="宋体"/>
          <w:b/>
          <w:bCs/>
          <w:kern w:val="0"/>
          <w:szCs w:val="21"/>
        </w:rPr>
      </w:pPr>
      <w:r>
        <w:rPr>
          <w:rFonts w:hint="eastAsia" w:ascii="宋体" w:hAnsi="宋体" w:eastAsia="宋体" w:cs="宋体"/>
          <w:b/>
          <w:bCs/>
          <w:kern w:val="0"/>
          <w:szCs w:val="21"/>
        </w:rPr>
        <w:t>释义</w:t>
      </w:r>
    </w:p>
    <w:p>
      <w:pPr>
        <w:pStyle w:val="18"/>
        <w:spacing w:after="0" w:line="360" w:lineRule="auto"/>
        <w:ind w:left="0" w:leftChars="0" w:firstLine="422"/>
        <w:rPr>
          <w:rFonts w:ascii="宋体" w:hAnsi="宋体" w:cs="宋体"/>
          <w:b/>
          <w:bCs/>
          <w:szCs w:val="21"/>
        </w:rPr>
      </w:pPr>
      <w:r>
        <w:rPr>
          <w:rFonts w:hint="eastAsia" w:ascii="宋体" w:hAnsi="宋体" w:cs="宋体"/>
          <w:b/>
          <w:bCs/>
          <w:szCs w:val="21"/>
        </w:rPr>
        <w:t>1、处方：</w:t>
      </w:r>
      <w:r>
        <w:rPr>
          <w:rFonts w:hint="eastAsia" w:ascii="宋体" w:hAnsi="宋体" w:cs="宋体"/>
          <w:bCs/>
          <w:szCs w:val="21"/>
        </w:rPr>
        <w:t>指由注册的执业医师和在诊疗活动中为患者开具的、由取得药学专业技术职务任职资格的药学专业技术人员审核、调配、核对，并作为患者用药凭证的医疗文书。处方包括医疗机构病区用药医嘱单。</w:t>
      </w:r>
    </w:p>
    <w:p>
      <w:pPr>
        <w:pStyle w:val="18"/>
        <w:spacing w:after="0" w:line="360" w:lineRule="auto"/>
        <w:ind w:left="0" w:leftChars="0" w:firstLine="422"/>
        <w:rPr>
          <w:rFonts w:ascii="宋体" w:hAnsi="宋体" w:cs="宋体"/>
          <w:bCs/>
          <w:szCs w:val="21"/>
        </w:rPr>
      </w:pPr>
      <w:r>
        <w:rPr>
          <w:rFonts w:hint="eastAsia" w:ascii="宋体" w:hAnsi="宋体" w:cs="宋体"/>
          <w:b/>
          <w:szCs w:val="21"/>
        </w:rPr>
        <w:t>2、</w:t>
      </w:r>
      <w:r>
        <w:rPr>
          <w:rFonts w:hint="eastAsia" w:asciiTheme="minorEastAsia" w:hAnsiTheme="minorEastAsia" w:eastAsiaTheme="minorEastAsia" w:cstheme="minorEastAsia"/>
          <w:b/>
          <w:bCs/>
          <w:szCs w:val="22"/>
        </w:rPr>
        <w:t>保险人指定或认可的药品清单</w:t>
      </w:r>
      <w:r>
        <w:rPr>
          <w:rFonts w:hint="eastAsia" w:ascii="宋体" w:hAnsi="宋体" w:cs="宋体"/>
          <w:b/>
          <w:bCs/>
          <w:szCs w:val="21"/>
        </w:rPr>
        <w:t>：</w:t>
      </w:r>
      <w:r>
        <w:rPr>
          <w:rFonts w:hint="eastAsia" w:ascii="宋体" w:hAnsi="宋体" w:cs="宋体"/>
          <w:bCs/>
          <w:szCs w:val="21"/>
        </w:rPr>
        <w:t>保险人在承保时与投保人约定的属于保险责任的、符合保险保障计划的药品清单。具体药品清单以保险人在保险人官方渠道(包括但不限于官网、官微)的通知为准，保险人保留对药品清单做出调整的权利，对于调整后的药品清单，保险人将会在保险人官方渠道(包括但不限于官网、官微)公示。</w:t>
      </w:r>
    </w:p>
    <w:p>
      <w:pPr>
        <w:pStyle w:val="18"/>
        <w:spacing w:after="0" w:line="360" w:lineRule="auto"/>
        <w:ind w:left="0" w:leftChars="0" w:firstLine="422"/>
        <w:rPr>
          <w:rFonts w:ascii="宋体" w:hAnsi="宋体" w:cs="宋体"/>
          <w:bCs/>
          <w:szCs w:val="21"/>
        </w:rPr>
      </w:pPr>
      <w:r>
        <w:rPr>
          <w:rFonts w:hint="eastAsia" w:ascii="宋体" w:hAnsi="宋体" w:cs="宋体"/>
          <w:b/>
          <w:bCs/>
          <w:szCs w:val="21"/>
        </w:rPr>
        <w:t>3、</w:t>
      </w:r>
      <w:r>
        <w:rPr>
          <w:rFonts w:hint="eastAsia" w:asciiTheme="minorEastAsia" w:hAnsiTheme="minorEastAsia" w:eastAsiaTheme="minorEastAsia" w:cstheme="minorEastAsia"/>
          <w:b/>
          <w:bCs/>
          <w:szCs w:val="22"/>
        </w:rPr>
        <w:t>保险人指定或认可的药店：</w:t>
      </w:r>
      <w:r>
        <w:rPr>
          <w:rFonts w:hint="eastAsia" w:ascii="宋体" w:hAnsi="宋体" w:cs="宋体"/>
          <w:bCs/>
          <w:szCs w:val="21"/>
        </w:rPr>
        <w:t>指保险人授权的第三方服务商提供的药店名单，该药店名单以保险人在官方正式渠道（包括但不限于官网、官微）的通知为准。保险人保留对上述指定药店名单做出调整的权利。保险人指定的药店需同时满足以下条件：</w:t>
      </w:r>
    </w:p>
    <w:p>
      <w:pPr>
        <w:pStyle w:val="18"/>
        <w:spacing w:after="0" w:line="360" w:lineRule="auto"/>
        <w:ind w:left="0" w:leftChars="0"/>
        <w:rPr>
          <w:rFonts w:ascii="宋体" w:hAnsi="宋体" w:cs="宋体"/>
          <w:bCs/>
          <w:szCs w:val="21"/>
        </w:rPr>
      </w:pPr>
      <w:r>
        <w:rPr>
          <w:rFonts w:hint="eastAsia" w:ascii="宋体" w:hAnsi="宋体" w:cs="宋体"/>
          <w:bCs/>
          <w:szCs w:val="21"/>
        </w:rPr>
        <w:t>（1）取得国家药品经营许可证、GSP认证；</w:t>
      </w:r>
    </w:p>
    <w:p>
      <w:pPr>
        <w:pStyle w:val="18"/>
        <w:spacing w:after="0" w:line="360" w:lineRule="auto"/>
        <w:ind w:left="0" w:leftChars="0"/>
        <w:rPr>
          <w:rFonts w:ascii="宋体" w:hAnsi="宋体" w:cs="宋体"/>
          <w:bCs/>
          <w:szCs w:val="21"/>
        </w:rPr>
      </w:pPr>
      <w:r>
        <w:rPr>
          <w:rFonts w:hint="eastAsia" w:ascii="宋体" w:hAnsi="宋体" w:cs="宋体"/>
          <w:bCs/>
          <w:szCs w:val="21"/>
        </w:rPr>
        <w:t>（2）具有完善的冷链药品送达能力；</w:t>
      </w:r>
    </w:p>
    <w:p>
      <w:pPr>
        <w:pStyle w:val="18"/>
        <w:spacing w:after="0" w:line="360" w:lineRule="auto"/>
        <w:ind w:left="0" w:leftChars="0"/>
        <w:rPr>
          <w:rFonts w:ascii="宋体" w:hAnsi="宋体" w:cs="宋体"/>
          <w:bCs/>
          <w:szCs w:val="21"/>
        </w:rPr>
      </w:pPr>
      <w:r>
        <w:rPr>
          <w:rFonts w:hint="eastAsia" w:ascii="宋体" w:hAnsi="宋体" w:cs="宋体"/>
          <w:bCs/>
          <w:szCs w:val="21"/>
        </w:rPr>
        <w:t>（3）该药店内具有医师、执业药师等专业人员提供服务。</w:t>
      </w:r>
    </w:p>
    <w:p>
      <w:pPr>
        <w:pStyle w:val="18"/>
        <w:spacing w:after="0" w:line="360" w:lineRule="auto"/>
        <w:ind w:left="0" w:leftChars="0" w:firstLine="422"/>
        <w:rPr>
          <w:rFonts w:ascii="宋体" w:hAnsi="宋体" w:cs="宋体"/>
          <w:bCs/>
          <w:szCs w:val="21"/>
        </w:rPr>
      </w:pPr>
      <w:r>
        <w:rPr>
          <w:rFonts w:hint="eastAsia" w:ascii="宋体" w:hAnsi="宋体" w:cs="宋体"/>
          <w:b/>
          <w:bCs/>
          <w:szCs w:val="21"/>
        </w:rPr>
        <w:t>4、《特许进口药品清单》：</w:t>
      </w:r>
      <w:r>
        <w:rPr>
          <w:rFonts w:hint="eastAsia" w:ascii="宋体" w:hAnsi="宋体" w:cs="宋体"/>
          <w:szCs w:val="21"/>
        </w:rPr>
        <w:t>指保险人在承保时与投保人约定的属于保险责任的海外进口药品及疾病清单，若保险人根据医疗水平的发展对清单进行更新的，以保险人官方正式渠道(包括但不限于官网、官微)最新公布信息为准。</w:t>
      </w:r>
    </w:p>
    <w:p>
      <w:pPr>
        <w:pStyle w:val="18"/>
        <w:numPr>
          <w:ilvl w:val="255"/>
          <w:numId w:val="0"/>
        </w:numPr>
        <w:spacing w:after="0" w:line="360" w:lineRule="auto"/>
        <w:ind w:firstLine="422" w:firstLineChars="200"/>
        <w:rPr>
          <w:rFonts w:ascii="宋体" w:hAnsi="宋体" w:cs="宋体"/>
          <w:szCs w:val="21"/>
        </w:rPr>
      </w:pPr>
      <w:r>
        <w:rPr>
          <w:rFonts w:asciiTheme="minorEastAsia" w:hAnsiTheme="minorEastAsia" w:eastAsiaTheme="minorEastAsia" w:cstheme="minorEastAsia"/>
          <w:b/>
          <w:bCs/>
          <w:szCs w:val="22"/>
        </w:rPr>
        <w:t>5</w:t>
      </w:r>
      <w:r>
        <w:rPr>
          <w:rFonts w:hint="eastAsia" w:asciiTheme="minorEastAsia" w:hAnsiTheme="minorEastAsia" w:eastAsiaTheme="minorEastAsia" w:cstheme="minorEastAsia"/>
          <w:b/>
          <w:bCs/>
          <w:szCs w:val="22"/>
        </w:rPr>
        <w:t>、基本医疗保险：</w:t>
      </w:r>
      <w:r>
        <w:rPr>
          <w:rFonts w:hint="eastAsia" w:ascii="宋体" w:hAnsi="宋体" w:cs="宋体"/>
          <w:szCs w:val="21"/>
        </w:rPr>
        <w:t>本附加险合同所称的基本医疗保险包括城镇职工基本医疗保险、城镇居民基本医疗保险、新型农村合作医疗等政府举办的社会基本医疗保障项目。</w:t>
      </w:r>
    </w:p>
    <w:p>
      <w:pPr>
        <w:pStyle w:val="18"/>
        <w:spacing w:after="0" w:line="360" w:lineRule="auto"/>
        <w:ind w:left="0" w:leftChars="0" w:firstLine="422"/>
        <w:rPr>
          <w:rFonts w:ascii="宋体" w:hAnsi="宋体" w:cs="宋体"/>
          <w:szCs w:val="21"/>
        </w:rPr>
      </w:pPr>
      <w:r>
        <w:rPr>
          <w:rFonts w:ascii="宋体" w:hAnsi="宋体" w:cs="宋体"/>
          <w:b/>
          <w:bCs/>
          <w:szCs w:val="21"/>
        </w:rPr>
        <w:t>6</w:t>
      </w:r>
      <w:r>
        <w:rPr>
          <w:rFonts w:hint="eastAsia" w:ascii="宋体" w:hAnsi="宋体" w:cs="宋体"/>
          <w:b/>
          <w:bCs/>
          <w:szCs w:val="21"/>
        </w:rPr>
        <w:t>、</w:t>
      </w:r>
      <w:r>
        <w:rPr>
          <w:rFonts w:hint="eastAsia" w:ascii="宋体" w:hAnsi="宋体" w:cs="宋体"/>
          <w:b/>
          <w:bCs/>
          <w:color w:val="000000"/>
          <w:kern w:val="0"/>
          <w:szCs w:val="21"/>
        </w:rPr>
        <w:t>有效身份证件：</w:t>
      </w:r>
      <w:r>
        <w:rPr>
          <w:rFonts w:hint="eastAsia" w:ascii="宋体" w:hAnsi="宋体" w:cs="宋体"/>
          <w:szCs w:val="21"/>
        </w:rPr>
        <w:t>指由政府主管部门规定的证明其身份的证件，包括但不限于居民身份证、按规定可使用的有效护照、军官证、警官证、士兵证等证件。</w:t>
      </w:r>
    </w:p>
    <w:p>
      <w:pPr>
        <w:pStyle w:val="18"/>
        <w:spacing w:after="0" w:line="360" w:lineRule="auto"/>
        <w:ind w:left="0" w:leftChars="0" w:firstLine="422"/>
        <w:rPr>
          <w:rFonts w:ascii="宋体" w:hAnsi="宋体" w:cs="宋体"/>
          <w:szCs w:val="21"/>
        </w:rPr>
      </w:pPr>
      <w:r>
        <w:rPr>
          <w:rFonts w:ascii="宋体" w:hAnsi="宋体" w:cs="宋体"/>
          <w:b/>
          <w:bCs/>
          <w:szCs w:val="21"/>
        </w:rPr>
        <w:t>7</w:t>
      </w:r>
      <w:r>
        <w:rPr>
          <w:rFonts w:hint="eastAsia" w:ascii="宋体" w:hAnsi="宋体" w:cs="宋体"/>
          <w:b/>
          <w:bCs/>
          <w:szCs w:val="21"/>
        </w:rPr>
        <w:t>、第三方服务商：</w:t>
      </w:r>
      <w:r>
        <w:rPr>
          <w:rFonts w:hint="eastAsia" w:ascii="宋体" w:hAnsi="宋体" w:cs="宋体"/>
          <w:szCs w:val="21"/>
        </w:rPr>
        <w:t>指保险人授权的为被保险人提供特许进口药品申请审核及服务安排的机构。</w:t>
      </w:r>
    </w:p>
    <w:p>
      <w:pPr>
        <w:pStyle w:val="18"/>
        <w:spacing w:line="360" w:lineRule="auto"/>
        <w:ind w:left="0" w:leftChars="0"/>
        <w:rPr>
          <w:rFonts w:ascii="宋体" w:hAnsi="宋体" w:cs="宋体"/>
          <w:szCs w:val="21"/>
        </w:rPr>
      </w:pPr>
      <w:r>
        <w:rPr>
          <w:rFonts w:hint="eastAsia" w:ascii="宋体" w:hAnsi="宋体" w:cs="宋体"/>
          <w:szCs w:val="21"/>
        </w:rPr>
        <w:t>本附加险合同条款的未释义名词，以本附加险合同所附属的主险合同条款中的释义为准。</w:t>
      </w:r>
    </w:p>
    <w:p>
      <w:pPr>
        <w:pStyle w:val="18"/>
        <w:numPr>
          <w:ilvl w:val="255"/>
          <w:numId w:val="0"/>
        </w:numPr>
        <w:spacing w:after="0" w:line="360" w:lineRule="auto"/>
        <w:ind w:firstLine="422" w:firstLineChars="200"/>
        <w:rPr>
          <w:rFonts w:ascii="宋体" w:hAnsi="宋体" w:cs="宋体"/>
          <w:b/>
          <w:bCs/>
          <w:szCs w:val="21"/>
        </w:rPr>
      </w:pPr>
    </w:p>
    <w:p>
      <w:pPr>
        <w:pStyle w:val="18"/>
        <w:numPr>
          <w:ilvl w:val="255"/>
          <w:numId w:val="0"/>
        </w:numPr>
        <w:spacing w:after="0" w:line="360" w:lineRule="auto"/>
        <w:ind w:firstLine="422" w:firstLineChars="200"/>
        <w:rPr>
          <w:rFonts w:ascii="宋体" w:hAnsi="宋体" w:cs="宋体"/>
          <w:b/>
          <w:bCs/>
          <w:szCs w:val="21"/>
        </w:rPr>
      </w:pPr>
    </w:p>
    <w:p>
      <w:pPr>
        <w:pStyle w:val="18"/>
        <w:spacing w:line="360" w:lineRule="auto"/>
        <w:ind w:left="0" w:leftChars="0" w:firstLine="0" w:firstLineChars="0"/>
        <w:rPr>
          <w:rFonts w:ascii="宋体" w:hAnsi="宋体" w:cs="宋体"/>
          <w:szCs w:val="21"/>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QxOTg0ZTg2NjA3ZGU0MTY2MmU0Yjk5YzMyNzRlOGMifQ=="/>
  </w:docVars>
  <w:rsids>
    <w:rsidRoot w:val="00DB5121"/>
    <w:rsid w:val="00005985"/>
    <w:rsid w:val="00012FB0"/>
    <w:rsid w:val="00093776"/>
    <w:rsid w:val="000A06AB"/>
    <w:rsid w:val="000B056F"/>
    <w:rsid w:val="000B51B4"/>
    <w:rsid w:val="000D1DA1"/>
    <w:rsid w:val="000E16AE"/>
    <w:rsid w:val="000E48D7"/>
    <w:rsid w:val="001139CC"/>
    <w:rsid w:val="00132EE8"/>
    <w:rsid w:val="001536A8"/>
    <w:rsid w:val="001602FE"/>
    <w:rsid w:val="001D0266"/>
    <w:rsid w:val="001D6070"/>
    <w:rsid w:val="0021683C"/>
    <w:rsid w:val="0022285C"/>
    <w:rsid w:val="0023027F"/>
    <w:rsid w:val="0026337F"/>
    <w:rsid w:val="00272551"/>
    <w:rsid w:val="002A4AD8"/>
    <w:rsid w:val="0031284D"/>
    <w:rsid w:val="0032030B"/>
    <w:rsid w:val="00320534"/>
    <w:rsid w:val="003470DE"/>
    <w:rsid w:val="003D33F2"/>
    <w:rsid w:val="003D6CF0"/>
    <w:rsid w:val="00471554"/>
    <w:rsid w:val="004769DF"/>
    <w:rsid w:val="0049421C"/>
    <w:rsid w:val="004D2D30"/>
    <w:rsid w:val="005049C5"/>
    <w:rsid w:val="005079E8"/>
    <w:rsid w:val="00543DDD"/>
    <w:rsid w:val="005D1B7C"/>
    <w:rsid w:val="005E6F72"/>
    <w:rsid w:val="005F3ED8"/>
    <w:rsid w:val="006320DC"/>
    <w:rsid w:val="006370EF"/>
    <w:rsid w:val="006508E3"/>
    <w:rsid w:val="0067346A"/>
    <w:rsid w:val="006D50A8"/>
    <w:rsid w:val="006E3EBC"/>
    <w:rsid w:val="00711C6E"/>
    <w:rsid w:val="00727135"/>
    <w:rsid w:val="00735DCD"/>
    <w:rsid w:val="00761432"/>
    <w:rsid w:val="007B738D"/>
    <w:rsid w:val="007C5330"/>
    <w:rsid w:val="007E016C"/>
    <w:rsid w:val="00813A52"/>
    <w:rsid w:val="008C05EA"/>
    <w:rsid w:val="008C0FEF"/>
    <w:rsid w:val="008E1259"/>
    <w:rsid w:val="008F542E"/>
    <w:rsid w:val="00992893"/>
    <w:rsid w:val="009D0110"/>
    <w:rsid w:val="009F7D6C"/>
    <w:rsid w:val="00A17C8B"/>
    <w:rsid w:val="00A345EF"/>
    <w:rsid w:val="00A671AC"/>
    <w:rsid w:val="00A76701"/>
    <w:rsid w:val="00A9502C"/>
    <w:rsid w:val="00AF2657"/>
    <w:rsid w:val="00B0447B"/>
    <w:rsid w:val="00B3366D"/>
    <w:rsid w:val="00B504DE"/>
    <w:rsid w:val="00B5506C"/>
    <w:rsid w:val="00BB2374"/>
    <w:rsid w:val="00BE33A0"/>
    <w:rsid w:val="00C50AAD"/>
    <w:rsid w:val="00C534E0"/>
    <w:rsid w:val="00C70F4C"/>
    <w:rsid w:val="00C762B4"/>
    <w:rsid w:val="00CB6EFB"/>
    <w:rsid w:val="00CD414F"/>
    <w:rsid w:val="00CD5479"/>
    <w:rsid w:val="00D07957"/>
    <w:rsid w:val="00D11D03"/>
    <w:rsid w:val="00D11DC0"/>
    <w:rsid w:val="00D45003"/>
    <w:rsid w:val="00D4517A"/>
    <w:rsid w:val="00D521F6"/>
    <w:rsid w:val="00D62B24"/>
    <w:rsid w:val="00D66552"/>
    <w:rsid w:val="00D97598"/>
    <w:rsid w:val="00DB5121"/>
    <w:rsid w:val="00DD3603"/>
    <w:rsid w:val="00E033EC"/>
    <w:rsid w:val="00E16407"/>
    <w:rsid w:val="00E47E21"/>
    <w:rsid w:val="00E54881"/>
    <w:rsid w:val="00E60E9F"/>
    <w:rsid w:val="00E61083"/>
    <w:rsid w:val="00E74E08"/>
    <w:rsid w:val="00EA1035"/>
    <w:rsid w:val="00EB6124"/>
    <w:rsid w:val="00EC48BB"/>
    <w:rsid w:val="00EE11D7"/>
    <w:rsid w:val="00EF3D39"/>
    <w:rsid w:val="00F22E63"/>
    <w:rsid w:val="00F744A4"/>
    <w:rsid w:val="00F91282"/>
    <w:rsid w:val="00FA21C3"/>
    <w:rsid w:val="00FC2076"/>
    <w:rsid w:val="00FF4151"/>
    <w:rsid w:val="01373036"/>
    <w:rsid w:val="016C7398"/>
    <w:rsid w:val="01B477E8"/>
    <w:rsid w:val="021D04ED"/>
    <w:rsid w:val="03C422A4"/>
    <w:rsid w:val="091F2D9D"/>
    <w:rsid w:val="0A6C019B"/>
    <w:rsid w:val="0B354AFA"/>
    <w:rsid w:val="0C1E7DF2"/>
    <w:rsid w:val="0CE105CD"/>
    <w:rsid w:val="0E3A5F83"/>
    <w:rsid w:val="0EFD76DC"/>
    <w:rsid w:val="0F724307"/>
    <w:rsid w:val="0F7301BC"/>
    <w:rsid w:val="0FCA0E25"/>
    <w:rsid w:val="10416ABB"/>
    <w:rsid w:val="119F221C"/>
    <w:rsid w:val="140D0011"/>
    <w:rsid w:val="17D02F59"/>
    <w:rsid w:val="1ADB1297"/>
    <w:rsid w:val="1AED482B"/>
    <w:rsid w:val="1B0D071E"/>
    <w:rsid w:val="1D8430D9"/>
    <w:rsid w:val="1DEA52D0"/>
    <w:rsid w:val="21613AFB"/>
    <w:rsid w:val="241A4435"/>
    <w:rsid w:val="24CD1AC7"/>
    <w:rsid w:val="27192832"/>
    <w:rsid w:val="287B27B9"/>
    <w:rsid w:val="2C8F41F0"/>
    <w:rsid w:val="2CCB1F53"/>
    <w:rsid w:val="2D9E0B6C"/>
    <w:rsid w:val="2EB15996"/>
    <w:rsid w:val="2FD12EF8"/>
    <w:rsid w:val="312607A0"/>
    <w:rsid w:val="32816AF3"/>
    <w:rsid w:val="32B76D8B"/>
    <w:rsid w:val="349A010E"/>
    <w:rsid w:val="384826D8"/>
    <w:rsid w:val="38A31AAC"/>
    <w:rsid w:val="38C176D2"/>
    <w:rsid w:val="3A1C5A83"/>
    <w:rsid w:val="3A830B2E"/>
    <w:rsid w:val="3AAA7AE0"/>
    <w:rsid w:val="3B370DEC"/>
    <w:rsid w:val="3D3B6BA3"/>
    <w:rsid w:val="3F112875"/>
    <w:rsid w:val="3F8B2948"/>
    <w:rsid w:val="40CA2082"/>
    <w:rsid w:val="40EA468B"/>
    <w:rsid w:val="41AA69A0"/>
    <w:rsid w:val="41FB71FC"/>
    <w:rsid w:val="448F4487"/>
    <w:rsid w:val="45AE50C2"/>
    <w:rsid w:val="47C35B9E"/>
    <w:rsid w:val="498C6861"/>
    <w:rsid w:val="4A7B07D0"/>
    <w:rsid w:val="4CCE1547"/>
    <w:rsid w:val="4D2C28F2"/>
    <w:rsid w:val="4D8B5FCC"/>
    <w:rsid w:val="4EFD6649"/>
    <w:rsid w:val="4F4A2F4F"/>
    <w:rsid w:val="4FDA2B47"/>
    <w:rsid w:val="5243620C"/>
    <w:rsid w:val="53345692"/>
    <w:rsid w:val="53751DF0"/>
    <w:rsid w:val="54545462"/>
    <w:rsid w:val="54837309"/>
    <w:rsid w:val="5539030F"/>
    <w:rsid w:val="559A2991"/>
    <w:rsid w:val="56ED315F"/>
    <w:rsid w:val="580C0FD8"/>
    <w:rsid w:val="582901C7"/>
    <w:rsid w:val="58510BD1"/>
    <w:rsid w:val="59044790"/>
    <w:rsid w:val="5A420F71"/>
    <w:rsid w:val="5B1038C0"/>
    <w:rsid w:val="5DF5732E"/>
    <w:rsid w:val="6172659E"/>
    <w:rsid w:val="62175F75"/>
    <w:rsid w:val="62185C38"/>
    <w:rsid w:val="623021E4"/>
    <w:rsid w:val="62547028"/>
    <w:rsid w:val="63B82A12"/>
    <w:rsid w:val="64C16B3D"/>
    <w:rsid w:val="65F52CC1"/>
    <w:rsid w:val="661C2D6C"/>
    <w:rsid w:val="672A06D7"/>
    <w:rsid w:val="681E6F5E"/>
    <w:rsid w:val="68E86ED7"/>
    <w:rsid w:val="6ADF6E0B"/>
    <w:rsid w:val="6B6712DB"/>
    <w:rsid w:val="6BB139C7"/>
    <w:rsid w:val="6CB17302"/>
    <w:rsid w:val="6CB839E4"/>
    <w:rsid w:val="6EB50746"/>
    <w:rsid w:val="70A444E7"/>
    <w:rsid w:val="728C1627"/>
    <w:rsid w:val="72B86640"/>
    <w:rsid w:val="75121B9E"/>
    <w:rsid w:val="77446974"/>
    <w:rsid w:val="77CB2E23"/>
    <w:rsid w:val="79D949B7"/>
    <w:rsid w:val="7A8F7F06"/>
    <w:rsid w:val="7B13693E"/>
    <w:rsid w:val="7CF4756E"/>
    <w:rsid w:val="7DD824AF"/>
    <w:rsid w:val="7EC54FB2"/>
    <w:rsid w:val="7F377C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unhideWhenUsed/>
    <w:uiPriority w:val="1"/>
  </w:style>
  <w:style w:type="table" w:default="1" w:styleId="8">
    <w:name w:val="Normal Table"/>
    <w:unhideWhenUsed/>
    <w:uiPriority w:val="99"/>
    <w:tblPr>
      <w:tblCellMar>
        <w:top w:w="0" w:type="dxa"/>
        <w:left w:w="108" w:type="dxa"/>
        <w:bottom w:w="0" w:type="dxa"/>
        <w:right w:w="108" w:type="dxa"/>
      </w:tblCellMar>
    </w:tblPr>
  </w:style>
  <w:style w:type="paragraph" w:styleId="2">
    <w:name w:val="annotation text"/>
    <w:basedOn w:val="1"/>
    <w:link w:val="22"/>
    <w:unhideWhenUsed/>
    <w:qFormat/>
    <w:uiPriority w:val="99"/>
    <w:pPr>
      <w:spacing w:after="160" w:line="259" w:lineRule="auto"/>
      <w:jc w:val="left"/>
    </w:pPr>
    <w:rPr>
      <w:rFonts w:ascii="Calibri" w:hAnsi="Calibri" w:eastAsia="宋体" w:cs="Times New Roman"/>
      <w:szCs w:val="22"/>
    </w:rPr>
  </w:style>
  <w:style w:type="paragraph" w:styleId="3">
    <w:name w:val="Balloon Text"/>
    <w:basedOn w:val="1"/>
    <w:link w:val="15"/>
    <w:qFormat/>
    <w:uiPriority w:val="0"/>
    <w:rPr>
      <w:sz w:val="18"/>
      <w:szCs w:val="18"/>
    </w:rPr>
  </w:style>
  <w:style w:type="paragraph" w:styleId="4">
    <w:name w:val="footer"/>
    <w:basedOn w:val="1"/>
    <w:link w:val="21"/>
    <w:qFormat/>
    <w:uiPriority w:val="0"/>
    <w:pPr>
      <w:tabs>
        <w:tab w:val="center" w:pos="4153"/>
        <w:tab w:val="right" w:pos="8306"/>
      </w:tabs>
      <w:snapToGrid w:val="0"/>
      <w:jc w:val="left"/>
    </w:pPr>
    <w:rPr>
      <w:sz w:val="18"/>
      <w:szCs w:val="18"/>
    </w:rPr>
  </w:style>
  <w:style w:type="paragraph" w:styleId="5">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rPr>
      <w:sz w:val="24"/>
    </w:rPr>
  </w:style>
  <w:style w:type="paragraph" w:styleId="7">
    <w:name w:val="annotation subject"/>
    <w:basedOn w:val="2"/>
    <w:next w:val="2"/>
    <w:link w:val="23"/>
    <w:qFormat/>
    <w:uiPriority w:val="0"/>
    <w:pPr>
      <w:spacing w:after="0" w:line="240" w:lineRule="auto"/>
    </w:pPr>
    <w:rPr>
      <w:rFonts w:asciiTheme="minorHAnsi" w:hAnsiTheme="minorHAnsi" w:eastAsiaTheme="minorEastAsia" w:cstheme="minorBidi"/>
      <w:b/>
      <w:bCs/>
      <w:szCs w:val="24"/>
    </w:rPr>
  </w:style>
  <w:style w:type="table" w:styleId="9">
    <w:name w:val="Table Grid"/>
    <w:basedOn w:val="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Emphasis"/>
    <w:basedOn w:val="10"/>
    <w:qFormat/>
    <w:uiPriority w:val="20"/>
    <w:rPr>
      <w:i/>
    </w:rPr>
  </w:style>
  <w:style w:type="character" w:styleId="12">
    <w:name w:val="annotation reference"/>
    <w:basedOn w:val="10"/>
    <w:unhideWhenUsed/>
    <w:qFormat/>
    <w:uiPriority w:val="0"/>
    <w:rPr>
      <w:sz w:val="16"/>
      <w:szCs w:val="16"/>
    </w:rPr>
  </w:style>
  <w:style w:type="paragraph" w:customStyle="1" w:styleId="13">
    <w:name w:val="_Style 1"/>
    <w:basedOn w:val="1"/>
    <w:qFormat/>
    <w:uiPriority w:val="34"/>
    <w:pPr>
      <w:ind w:firstLine="420" w:firstLineChars="200"/>
    </w:pPr>
    <w:rPr>
      <w:rFonts w:ascii="Calibri" w:hAnsi="Calibri"/>
      <w:szCs w:val="22"/>
    </w:rPr>
  </w:style>
  <w:style w:type="paragraph" w:customStyle="1" w:styleId="14">
    <w:name w:val="msolistparagraph"/>
    <w:basedOn w:val="1"/>
    <w:qFormat/>
    <w:uiPriority w:val="0"/>
    <w:pPr>
      <w:widowControl/>
      <w:ind w:firstLine="420"/>
    </w:pPr>
    <w:rPr>
      <w:rFonts w:ascii="Calibri" w:hAnsi="Calibri" w:eastAsia="宋体" w:cs="Times New Roman"/>
      <w:kern w:val="0"/>
      <w:szCs w:val="21"/>
    </w:rPr>
  </w:style>
  <w:style w:type="character" w:customStyle="1" w:styleId="15">
    <w:name w:val="批注框文本 字符"/>
    <w:basedOn w:val="10"/>
    <w:link w:val="3"/>
    <w:qFormat/>
    <w:uiPriority w:val="0"/>
    <w:rPr>
      <w:rFonts w:asciiTheme="minorHAnsi" w:hAnsiTheme="minorHAnsi" w:cstheme="minorBidi"/>
      <w:kern w:val="2"/>
      <w:sz w:val="18"/>
      <w:szCs w:val="18"/>
    </w:rPr>
  </w:style>
  <w:style w:type="paragraph" w:customStyle="1" w:styleId="16">
    <w:name w:val="列表段落1"/>
    <w:basedOn w:val="1"/>
    <w:qFormat/>
    <w:uiPriority w:val="34"/>
    <w:pPr>
      <w:ind w:firstLine="420" w:firstLineChars="200"/>
    </w:pPr>
    <w:rPr>
      <w:rFonts w:ascii="Calibri" w:hAnsi="Calibri" w:eastAsia="宋体" w:cs="Times New Roman"/>
      <w:szCs w:val="22"/>
    </w:rPr>
  </w:style>
  <w:style w:type="paragraph" w:customStyle="1" w:styleId="17">
    <w:name w:val="List Paragraph2"/>
    <w:basedOn w:val="1"/>
    <w:qFormat/>
    <w:uiPriority w:val="99"/>
    <w:pPr>
      <w:ind w:firstLine="420"/>
    </w:pPr>
    <w:rPr>
      <w:rFonts w:ascii="Calibri" w:hAnsi="Calibri" w:eastAsia="宋体" w:cs="Times New Roman"/>
      <w:szCs w:val="20"/>
    </w:rPr>
  </w:style>
  <w:style w:type="paragraph" w:customStyle="1" w:styleId="18">
    <w:name w:val="条款正文"/>
    <w:basedOn w:val="1"/>
    <w:qFormat/>
    <w:uiPriority w:val="0"/>
    <w:pPr>
      <w:adjustRightInd w:val="0"/>
      <w:snapToGrid w:val="0"/>
      <w:spacing w:after="160" w:line="259" w:lineRule="auto"/>
      <w:ind w:left="840" w:leftChars="400" w:firstLine="420" w:firstLineChars="200"/>
    </w:pPr>
    <w:rPr>
      <w:rFonts w:ascii="Times New Roman" w:hAnsi="Times New Roman" w:eastAsia="宋体" w:cs="Times New Roman"/>
    </w:rPr>
  </w:style>
  <w:style w:type="paragraph" w:customStyle="1" w:styleId="19">
    <w:name w:val="列出段落1"/>
    <w:basedOn w:val="1"/>
    <w:qFormat/>
    <w:uiPriority w:val="34"/>
    <w:pPr>
      <w:spacing w:after="160" w:line="259" w:lineRule="auto"/>
      <w:ind w:firstLine="420" w:firstLineChars="200"/>
    </w:pPr>
    <w:rPr>
      <w:rFonts w:ascii="Calibri" w:hAnsi="Calibri" w:eastAsia="宋体" w:cs="Times New Roman"/>
      <w:szCs w:val="22"/>
    </w:rPr>
  </w:style>
  <w:style w:type="character" w:customStyle="1" w:styleId="20">
    <w:name w:val="页眉 字符"/>
    <w:basedOn w:val="10"/>
    <w:link w:val="5"/>
    <w:qFormat/>
    <w:uiPriority w:val="0"/>
    <w:rPr>
      <w:rFonts w:asciiTheme="minorHAnsi" w:hAnsiTheme="minorHAnsi" w:cstheme="minorBidi"/>
      <w:kern w:val="2"/>
      <w:sz w:val="18"/>
      <w:szCs w:val="18"/>
    </w:rPr>
  </w:style>
  <w:style w:type="character" w:customStyle="1" w:styleId="21">
    <w:name w:val="页脚 字符"/>
    <w:basedOn w:val="10"/>
    <w:link w:val="4"/>
    <w:qFormat/>
    <w:uiPriority w:val="0"/>
    <w:rPr>
      <w:rFonts w:asciiTheme="minorHAnsi" w:hAnsiTheme="minorHAnsi" w:cstheme="minorBidi"/>
      <w:kern w:val="2"/>
      <w:sz w:val="18"/>
      <w:szCs w:val="18"/>
    </w:rPr>
  </w:style>
  <w:style w:type="character" w:customStyle="1" w:styleId="22">
    <w:name w:val="批注文字 字符"/>
    <w:basedOn w:val="10"/>
    <w:link w:val="2"/>
    <w:qFormat/>
    <w:uiPriority w:val="99"/>
    <w:rPr>
      <w:rFonts w:ascii="Calibri" w:hAnsi="Calibri" w:eastAsia="宋体"/>
      <w:kern w:val="2"/>
      <w:sz w:val="21"/>
      <w:szCs w:val="22"/>
    </w:rPr>
  </w:style>
  <w:style w:type="character" w:customStyle="1" w:styleId="23">
    <w:name w:val="批注主题 字符"/>
    <w:basedOn w:val="22"/>
    <w:link w:val="7"/>
    <w:qFormat/>
    <w:uiPriority w:val="0"/>
    <w:rPr>
      <w:rFonts w:eastAsia="宋体" w:asciiTheme="minorHAnsi" w:hAnsiTheme="minorHAnsi" w:cstheme="minorBidi"/>
      <w:b/>
      <w:bCs/>
      <w:kern w:val="2"/>
      <w:sz w:val="21"/>
      <w:szCs w:val="24"/>
    </w:rPr>
  </w:style>
  <w:style w:type="paragraph" w:customStyle="1" w:styleId="24">
    <w:name w:val="修订1"/>
    <w:hidden/>
    <w:semiHidden/>
    <w:qFormat/>
    <w:uiPriority w:val="99"/>
    <w:rPr>
      <w:rFonts w:asciiTheme="minorHAnsi" w:hAnsiTheme="minorHAnsi" w:eastAsiaTheme="minorEastAsia" w:cstheme="minorBidi"/>
      <w:kern w:val="2"/>
      <w:sz w:val="21"/>
      <w:szCs w:val="24"/>
      <w:lang w:val="en-US" w:eastAsia="zh-CN" w:bidi="ar-SA"/>
    </w:rPr>
  </w:style>
  <w:style w:type="paragraph" w:customStyle="1" w:styleId="25">
    <w:name w:val="修订2"/>
    <w:hidden/>
    <w:unhideWhenUsed/>
    <w:uiPriority w:val="99"/>
    <w:rPr>
      <w:rFonts w:asciiTheme="minorHAnsi" w:hAnsiTheme="minorHAnsi" w:eastAsiaTheme="minorEastAsia" w:cstheme="minorBidi"/>
      <w:kern w:val="2"/>
      <w:sz w:val="21"/>
      <w:szCs w:val="24"/>
      <w:lang w:val="en-US" w:eastAsia="zh-CN" w:bidi="ar-SA"/>
    </w:rPr>
  </w:style>
  <w:style w:type="paragraph" w:customStyle="1" w:styleId="26">
    <w:name w:val="修订3"/>
    <w:hidden/>
    <w:unhideWhenUsed/>
    <w:uiPriority w:val="99"/>
    <w:rPr>
      <w:rFonts w:asciiTheme="minorHAnsi" w:hAnsiTheme="minorHAnsi" w:eastAsiaTheme="minorEastAsia" w:cstheme="minorBidi"/>
      <w:kern w:val="2"/>
      <w:sz w:val="21"/>
      <w:szCs w:val="24"/>
      <w:lang w:val="en-US" w:eastAsia="zh-CN" w:bidi="ar-SA"/>
    </w:rPr>
  </w:style>
  <w:style w:type="paragraph" w:customStyle="1" w:styleId="27">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28">
    <w:name w:val="列表段落2"/>
    <w:basedOn w:val="1"/>
    <w:unhideWhenUsed/>
    <w:qFormat/>
    <w:uiPriority w:val="99"/>
    <w:pPr>
      <w:ind w:firstLine="420" w:firstLineChars="200"/>
    </w:pPr>
  </w:style>
  <w:style w:type="paragraph" w:customStyle="1" w:styleId="29">
    <w:name w:val="修订4"/>
    <w:hidden/>
    <w:semiHidden/>
    <w:qFormat/>
    <w:uiPriority w:val="99"/>
    <w:rPr>
      <w:rFonts w:asciiTheme="minorHAnsi" w:hAnsiTheme="minorHAnsi" w:eastAsiaTheme="minorEastAsia" w:cstheme="minorBidi"/>
      <w:kern w:val="2"/>
      <w:sz w:val="21"/>
      <w:szCs w:val="24"/>
      <w:lang w:val="en-US" w:eastAsia="zh-CN" w:bidi="ar-SA"/>
    </w:rPr>
  </w:style>
  <w:style w:type="paragraph" w:customStyle="1" w:styleId="30">
    <w:name w:val="Revision"/>
    <w:hidden/>
    <w:unhideWhenUsed/>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4956</Words>
  <Characters>5001</Characters>
  <Lines>38</Lines>
  <Paragraphs>10</Paragraphs>
  <TotalTime>1</TotalTime>
  <ScaleCrop>false</ScaleCrop>
  <LinksUpToDate>false</LinksUpToDate>
  <CharactersWithSpaces>5019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2022-04-21T01:34:00Z</dcterms:created>
  <dc:creator>caoln</dc:creator>
  <cp:lastModifiedBy>Zixuan Shen</cp:lastModifiedBy>
  <dcterms:modified xsi:type="dcterms:W3CDTF">2023-10-13T08:34:05Z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6B9AAB317C2B4662A8446D2B20933525</vt:lpwstr>
  </property>
  <property fmtid="{D5CDD505-2E9C-101B-9397-08002B2CF9AE}" pid="4" name="commondata">
    <vt:lpwstr>eyJoZGlkIjoiMDRiMmE0ZjljZDExM2YyODdkMDQ1ZGRhYjY0YmQ5MmQifQ==</vt:lpwstr>
  </property>
</Properties>
</file>