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附加住院津贴保险费率表（互联网专属）</w:t>
      </w:r>
    </w:p>
    <w:p>
      <w:pPr>
        <w:jc w:val="center"/>
        <w:textAlignment w:val="baseline"/>
        <w:rPr>
          <w:rFonts w:ascii="仿宋" w:hAnsi="仿宋" w:eastAsia="仿宋"/>
          <w:b/>
          <w:kern w:val="0"/>
          <w:sz w:val="32"/>
          <w:szCs w:val="32"/>
        </w:rPr>
      </w:pPr>
    </w:p>
    <w:p>
      <w:pPr>
        <w:widowControl/>
        <w:snapToGrid w:val="0"/>
        <w:spacing w:after="156" w:afterLines="50"/>
        <w:jc w:val="left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一、基准保费（每10元人民币每日住院日津贴额）                               </w:t>
      </w:r>
    </w:p>
    <w:tbl>
      <w:tblPr>
        <w:tblStyle w:val="7"/>
        <w:tblW w:w="0" w:type="auto"/>
        <w:tblInd w:w="13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2040"/>
        <w:gridCol w:w="2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2355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156" w:beforeLines="50" w:after="156" w:afterLines="5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保险期间</w:t>
            </w:r>
          </w:p>
        </w:tc>
        <w:tc>
          <w:tcPr>
            <w:tcW w:w="422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156" w:beforeLines="50" w:after="156" w:afterLines="5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基准保费（元）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2355" w:type="dxa"/>
            <w:vMerge w:val="continue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宋体"/>
                <w:kern w:val="0"/>
                <w:szCs w:val="21"/>
                <w:lang w:val="fr-FR"/>
              </w:rPr>
            </w:pPr>
          </w:p>
        </w:tc>
        <w:tc>
          <w:tcPr>
            <w:tcW w:w="204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意外伤害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住院津贴</w:t>
            </w:r>
          </w:p>
        </w:tc>
        <w:tc>
          <w:tcPr>
            <w:tcW w:w="218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156" w:beforeLines="50" w:after="156" w:afterLines="5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急性病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住院津贴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2355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fr-FR"/>
              </w:rPr>
              <w:t>1-3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日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val="fr-F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0.03 </w:t>
            </w:r>
          </w:p>
        </w:tc>
        <w:tc>
          <w:tcPr>
            <w:tcW w:w="21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val="fr-F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2355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fr-FR"/>
              </w:rPr>
              <w:t>4-9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日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val="fr-F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0.08 </w:t>
            </w:r>
          </w:p>
        </w:tc>
        <w:tc>
          <w:tcPr>
            <w:tcW w:w="21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val="fr-F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2355" w:type="dxa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宋体"/>
                <w:kern w:val="0"/>
                <w:szCs w:val="21"/>
                <w:lang w:val="fr-F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fr-FR"/>
              </w:rPr>
              <w:t>10-1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6日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val="fr-F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0.14 </w:t>
            </w:r>
          </w:p>
        </w:tc>
        <w:tc>
          <w:tcPr>
            <w:tcW w:w="21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val="fr-F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0.10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2355" w:type="dxa"/>
            <w:vAlign w:val="center"/>
          </w:tcPr>
          <w:p>
            <w:pPr>
              <w:spacing w:after="5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fr-FR"/>
              </w:rPr>
              <w:t>17–45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日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val="fr-F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0.29 </w:t>
            </w:r>
          </w:p>
        </w:tc>
        <w:tc>
          <w:tcPr>
            <w:tcW w:w="21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val="fr-F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0.21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2355" w:type="dxa"/>
            <w:vAlign w:val="center"/>
          </w:tcPr>
          <w:p>
            <w:pPr>
              <w:spacing w:after="50"/>
              <w:jc w:val="center"/>
              <w:rPr>
                <w:rFonts w:ascii="宋体" w:hAnsi="宋体" w:eastAsia="宋体" w:cs="宋体"/>
                <w:kern w:val="0"/>
                <w:szCs w:val="21"/>
                <w:lang w:val="fr-F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fr-FR"/>
              </w:rPr>
              <w:t>46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-180日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val="fr-F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0.57 </w:t>
            </w:r>
          </w:p>
        </w:tc>
        <w:tc>
          <w:tcPr>
            <w:tcW w:w="21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Cs w:val="21"/>
                <w:lang w:val="fr-F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0.41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2355" w:type="dxa"/>
            <w:vAlign w:val="center"/>
          </w:tcPr>
          <w:p>
            <w:pPr>
              <w:spacing w:after="50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181日-1年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1.14 </w:t>
            </w:r>
          </w:p>
        </w:tc>
        <w:tc>
          <w:tcPr>
            <w:tcW w:w="21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0.82 </w:t>
            </w:r>
          </w:p>
        </w:tc>
      </w:tr>
    </w:tbl>
    <w:p>
      <w:pPr>
        <w:rPr>
          <w:rFonts w:ascii="宋体" w:hAnsi="宋体" w:eastAsia="宋体" w:cs="宋体"/>
          <w:szCs w:val="21"/>
        </w:rPr>
      </w:pPr>
    </w:p>
    <w:p>
      <w:pPr>
        <w:widowControl/>
        <w:numPr>
          <w:ilvl w:val="0"/>
          <w:numId w:val="1"/>
        </w:numPr>
        <w:spacing w:after="156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费率调整系数</w:t>
      </w:r>
    </w:p>
    <w:p>
      <w:pPr>
        <w:widowControl/>
        <w:numPr>
          <w:ilvl w:val="-1"/>
          <w:numId w:val="0"/>
        </w:numPr>
        <w:spacing w:after="156"/>
        <w:rPr>
          <w:rFonts w:hint="eastAsia" w:ascii="宋体" w:hAnsi="宋体" w:eastAsia="宋体" w:cs="宋体"/>
          <w:b w:val="0"/>
          <w:bCs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1、每次住院免赔天数调整系数：</w:t>
      </w:r>
    </w:p>
    <w:tbl>
      <w:tblPr>
        <w:tblStyle w:val="8"/>
        <w:tblW w:w="0" w:type="auto"/>
        <w:tblInd w:w="13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4"/>
        <w:gridCol w:w="29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免赔天数（天）（F1）</w:t>
            </w:r>
          </w:p>
        </w:tc>
        <w:tc>
          <w:tcPr>
            <w:tcW w:w="296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0-3（含）</w:t>
            </w:r>
          </w:p>
        </w:tc>
        <w:tc>
          <w:tcPr>
            <w:tcW w:w="296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[0.8,1.0]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3-5（含）</w:t>
            </w:r>
          </w:p>
        </w:tc>
        <w:tc>
          <w:tcPr>
            <w:tcW w:w="296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[0.6,0.8)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5及以上</w:t>
            </w:r>
          </w:p>
        </w:tc>
        <w:tc>
          <w:tcPr>
            <w:tcW w:w="296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[0.5,0.6)</w:t>
            </w:r>
          </w:p>
        </w:tc>
      </w:tr>
    </w:tbl>
    <w:p>
      <w:pPr>
        <w:widowControl/>
        <w:numPr>
          <w:ilvl w:val="-1"/>
          <w:numId w:val="0"/>
        </w:numPr>
        <w:spacing w:after="156"/>
        <w:rPr>
          <w:rFonts w:hint="eastAsia" w:ascii="宋体" w:hAnsi="宋体" w:eastAsia="宋体" w:cs="宋体"/>
          <w:b w:val="0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2、每次住院最高给付天数调整系数：</w:t>
      </w:r>
    </w:p>
    <w:tbl>
      <w:tblPr>
        <w:tblStyle w:val="8"/>
        <w:tblW w:w="0" w:type="auto"/>
        <w:tblInd w:w="13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9"/>
        <w:gridCol w:w="2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每次住院最高给付天数（天）（F2）</w:t>
            </w:r>
          </w:p>
        </w:tc>
        <w:tc>
          <w:tcPr>
            <w:tcW w:w="29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0-30（含）</w:t>
            </w:r>
          </w:p>
        </w:tc>
        <w:tc>
          <w:tcPr>
            <w:tcW w:w="294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[0.6,0.8)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30-60（含）</w:t>
            </w:r>
          </w:p>
        </w:tc>
        <w:tc>
          <w:tcPr>
            <w:tcW w:w="294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[0.8,0.9)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60-180（含）</w:t>
            </w:r>
          </w:p>
        </w:tc>
        <w:tc>
          <w:tcPr>
            <w:tcW w:w="294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[0.9,1.0]</w:t>
            </w:r>
          </w:p>
        </w:tc>
      </w:tr>
    </w:tbl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Cs w:val="21"/>
        </w:rPr>
        <w:t>、</w:t>
      </w:r>
      <w:r>
        <w:rPr>
          <w:rFonts w:hint="eastAsia" w:ascii="宋体" w:hAnsi="宋体" w:eastAsia="宋体" w:cs="宋体"/>
          <w:szCs w:val="21"/>
        </w:rPr>
        <w:t>旅行方式调整系数：</w:t>
      </w:r>
    </w:p>
    <w:tbl>
      <w:tblPr>
        <w:tblStyle w:val="7"/>
        <w:tblW w:w="57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8"/>
        <w:gridCol w:w="28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旅行方式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（F3）</w:t>
            </w:r>
          </w:p>
        </w:tc>
        <w:tc>
          <w:tcPr>
            <w:tcW w:w="2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自由行</w:t>
            </w:r>
          </w:p>
        </w:tc>
        <w:tc>
          <w:tcPr>
            <w:tcW w:w="2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[0.7,1.3]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跟团游</w:t>
            </w:r>
          </w:p>
        </w:tc>
        <w:tc>
          <w:tcPr>
            <w:tcW w:w="2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[0.5,1.2]</w:t>
            </w:r>
          </w:p>
        </w:tc>
      </w:tr>
    </w:tbl>
    <w:p>
      <w:pPr>
        <w:widowControl/>
        <w:spacing w:after="156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4、渠道预计投保人数</w:t>
      </w:r>
      <w:r>
        <w:rPr>
          <w:rFonts w:hint="eastAsia" w:ascii="宋体" w:hAnsi="宋体" w:eastAsia="宋体" w:cs="宋体"/>
          <w:szCs w:val="21"/>
        </w:rPr>
        <w:t>整系数：</w:t>
      </w:r>
    </w:p>
    <w:tbl>
      <w:tblPr>
        <w:tblStyle w:val="7"/>
        <w:tblW w:w="59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9"/>
        <w:gridCol w:w="30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渠道预计投保人数（F4）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1万人以上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[0.6,0.8)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5000人-1万人（含）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[0.8,1.0)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2000人（含）-5000人（含）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[1.0,1.2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2000人以下</w:t>
            </w:r>
          </w:p>
        </w:tc>
        <w:tc>
          <w:tcPr>
            <w:tcW w:w="30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[1.2,1.45]</w:t>
            </w:r>
          </w:p>
        </w:tc>
      </w:tr>
    </w:tbl>
    <w:p>
      <w:pPr>
        <w:widowControl/>
        <w:spacing w:after="156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5、预期（经验）</w:t>
      </w:r>
      <w:r>
        <w:rPr>
          <w:rFonts w:hint="eastAsia" w:ascii="宋体" w:hAnsi="宋体" w:eastAsia="宋体" w:cs="宋体"/>
          <w:szCs w:val="21"/>
        </w:rPr>
        <w:t>赔付率调整系数：</w:t>
      </w:r>
    </w:p>
    <w:tbl>
      <w:tblPr>
        <w:tblStyle w:val="7"/>
        <w:tblW w:w="5925" w:type="dxa"/>
        <w:tblInd w:w="12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29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预期（经验）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赔付率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（F5）</w:t>
            </w:r>
          </w:p>
        </w:tc>
        <w:tc>
          <w:tcPr>
            <w:tcW w:w="29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0%（含）-20%</w:t>
            </w:r>
          </w:p>
        </w:tc>
        <w:tc>
          <w:tcPr>
            <w:tcW w:w="29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[0.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4,0.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6)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20%（含）-30%</w:t>
            </w:r>
          </w:p>
        </w:tc>
        <w:tc>
          <w:tcPr>
            <w:tcW w:w="29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[0.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6,0.8)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30%（含）-40%</w:t>
            </w:r>
          </w:p>
        </w:tc>
        <w:tc>
          <w:tcPr>
            <w:tcW w:w="29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[0.8,1.0)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40%（含）-50%</w:t>
            </w:r>
          </w:p>
        </w:tc>
        <w:tc>
          <w:tcPr>
            <w:tcW w:w="29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[1.0,1.2)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50%（含）以上</w:t>
            </w:r>
          </w:p>
        </w:tc>
        <w:tc>
          <w:tcPr>
            <w:tcW w:w="29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[1.2,1.8]</w:t>
            </w:r>
          </w:p>
        </w:tc>
      </w:tr>
    </w:tbl>
    <w:p>
      <w:pPr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6、</w:t>
      </w:r>
      <w:r>
        <w:rPr>
          <w:rFonts w:hint="eastAsia" w:ascii="宋体" w:hAnsi="宋体" w:eastAsia="宋体" w:cs="宋体"/>
          <w:szCs w:val="21"/>
        </w:rPr>
        <w:t>被保险人年龄调整系数：</w:t>
      </w:r>
    </w:p>
    <w:tbl>
      <w:tblPr>
        <w:tblStyle w:val="7"/>
        <w:tblW w:w="5910" w:type="dxa"/>
        <w:tblInd w:w="13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6"/>
        <w:gridCol w:w="29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2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被保险人年龄（周岁）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F6）</w:t>
            </w:r>
          </w:p>
        </w:tc>
        <w:tc>
          <w:tcPr>
            <w:tcW w:w="29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2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0-5</w:t>
            </w:r>
          </w:p>
        </w:tc>
        <w:tc>
          <w:tcPr>
            <w:tcW w:w="29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1.0,1.0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6-16</w:t>
            </w:r>
          </w:p>
        </w:tc>
        <w:tc>
          <w:tcPr>
            <w:tcW w:w="29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[0.5,1.0]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17-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45</w:t>
            </w:r>
          </w:p>
        </w:tc>
        <w:tc>
          <w:tcPr>
            <w:tcW w:w="29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[0.3,0.8]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46-66</w:t>
            </w:r>
          </w:p>
        </w:tc>
        <w:tc>
          <w:tcPr>
            <w:tcW w:w="29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1.0,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1.05]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66以上</w:t>
            </w:r>
          </w:p>
        </w:tc>
        <w:tc>
          <w:tcPr>
            <w:tcW w:w="29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[1.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1,1.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3]</w:t>
            </w:r>
          </w:p>
        </w:tc>
      </w:tr>
    </w:tbl>
    <w:p>
      <w:pPr>
        <w:numPr>
          <w:ilvl w:val="-1"/>
          <w:numId w:val="0"/>
        </w:numPr>
        <w:spacing w:line="312" w:lineRule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7、销售方式调整系数：</w:t>
      </w:r>
    </w:p>
    <w:tbl>
      <w:tblPr>
        <w:tblStyle w:val="8"/>
        <w:tblW w:w="0" w:type="auto"/>
        <w:tblInd w:w="13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9"/>
        <w:gridCol w:w="29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94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销售方式（F7）</w:t>
            </w:r>
          </w:p>
        </w:tc>
        <w:tc>
          <w:tcPr>
            <w:tcW w:w="296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直销</w:t>
            </w:r>
          </w:p>
        </w:tc>
        <w:tc>
          <w:tcPr>
            <w:tcW w:w="29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Cs w:val="21"/>
              </w:rPr>
              <w:t>,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非直销</w:t>
            </w:r>
          </w:p>
        </w:tc>
        <w:tc>
          <w:tcPr>
            <w:tcW w:w="29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0.8</w:t>
            </w:r>
            <w:r>
              <w:rPr>
                <w:rFonts w:hint="eastAsia" w:ascii="宋体" w:hAnsi="宋体" w:eastAsia="宋体" w:cs="宋体"/>
                <w:szCs w:val="21"/>
              </w:rPr>
              <w:t>,1.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2]</w:t>
            </w:r>
          </w:p>
        </w:tc>
      </w:tr>
    </w:tbl>
    <w:p>
      <w:pPr>
        <w:numPr>
          <w:ilvl w:val="-1"/>
          <w:numId w:val="0"/>
        </w:numPr>
        <w:spacing w:line="312" w:lineRule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8、旅行目的地调整系数：</w:t>
      </w:r>
    </w:p>
    <w:tbl>
      <w:tblPr>
        <w:tblStyle w:val="8"/>
        <w:tblW w:w="0" w:type="auto"/>
        <w:tblInd w:w="13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4"/>
        <w:gridCol w:w="2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4" w:type="dxa"/>
          </w:tcPr>
          <w:p>
            <w:pPr>
              <w:numPr>
                <w:ilvl w:val="-1"/>
                <w:numId w:val="0"/>
              </w:numPr>
              <w:spacing w:line="312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旅行目的地（F8）</w:t>
            </w:r>
          </w:p>
        </w:tc>
        <w:tc>
          <w:tcPr>
            <w:tcW w:w="2976" w:type="dxa"/>
          </w:tcPr>
          <w:p>
            <w:pPr>
              <w:numPr>
                <w:ilvl w:val="-1"/>
                <w:numId w:val="0"/>
              </w:numPr>
              <w:spacing w:line="312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4" w:type="dxa"/>
          </w:tcPr>
          <w:p>
            <w:pPr>
              <w:numPr>
                <w:ilvl w:val="-1"/>
                <w:numId w:val="0"/>
              </w:numPr>
              <w:spacing w:line="312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境内</w:t>
            </w:r>
          </w:p>
        </w:tc>
        <w:tc>
          <w:tcPr>
            <w:tcW w:w="2976" w:type="dxa"/>
          </w:tcPr>
          <w:p>
            <w:pPr>
              <w:numPr>
                <w:ilvl w:val="-1"/>
                <w:numId w:val="0"/>
              </w:numPr>
              <w:spacing w:line="312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[0.5,1.0)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4" w:type="dxa"/>
          </w:tcPr>
          <w:p>
            <w:pPr>
              <w:numPr>
                <w:ilvl w:val="-1"/>
                <w:numId w:val="0"/>
              </w:numPr>
              <w:spacing w:line="312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境外</w:t>
            </w:r>
          </w:p>
        </w:tc>
        <w:tc>
          <w:tcPr>
            <w:tcW w:w="2976" w:type="dxa"/>
          </w:tcPr>
          <w:p>
            <w:pPr>
              <w:numPr>
                <w:ilvl w:val="-1"/>
                <w:numId w:val="0"/>
              </w:numPr>
              <w:spacing w:line="312" w:lineRule="auto"/>
              <w:jc w:val="center"/>
              <w:rPr>
                <w:rFonts w:hint="default" w:ascii="宋体" w:hAnsi="宋体" w:eastAsia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vertAlign w:val="baseline"/>
                <w:lang w:val="en-US" w:eastAsia="zh-CN"/>
              </w:rPr>
              <w:t>[1.0,1.5]</w:t>
            </w:r>
          </w:p>
        </w:tc>
      </w:tr>
    </w:tbl>
    <w:p>
      <w:pPr>
        <w:spacing w:line="312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9、</w:t>
      </w:r>
      <w:r>
        <w:rPr>
          <w:rFonts w:hint="eastAsia" w:ascii="宋体" w:hAnsi="宋体" w:eastAsia="宋体" w:cs="宋体"/>
          <w:szCs w:val="21"/>
        </w:rPr>
        <w:t>被保险人旅游目的地治安风险调整系数：</w:t>
      </w:r>
    </w:p>
    <w:tbl>
      <w:tblPr>
        <w:tblStyle w:val="7"/>
        <w:tblW w:w="6185" w:type="dxa"/>
        <w:tblInd w:w="11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6"/>
        <w:gridCol w:w="30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旅游目的地治安风险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F9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较差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（1.1,1.3]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一般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（1.0,1.1]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良好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[0.5,1.0]</w:t>
            </w:r>
          </w:p>
        </w:tc>
      </w:tr>
    </w:tbl>
    <w:p>
      <w:pPr>
        <w:spacing w:line="312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10、</w:t>
      </w:r>
      <w:r>
        <w:rPr>
          <w:rFonts w:hint="eastAsia" w:ascii="宋体" w:hAnsi="宋体" w:eastAsia="宋体" w:cs="宋体"/>
          <w:szCs w:val="21"/>
        </w:rPr>
        <w:t>被保险人旅游目的地自然灾害风险状况调整系数：</w:t>
      </w:r>
    </w:p>
    <w:tbl>
      <w:tblPr>
        <w:tblStyle w:val="7"/>
        <w:tblW w:w="6185" w:type="dxa"/>
        <w:tblInd w:w="11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6"/>
        <w:gridCol w:w="30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旅游目的地自然灾害风险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F10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较差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（1.1,1.3]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一般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（1.0,1.1]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良好</w:t>
            </w:r>
          </w:p>
        </w:tc>
        <w:tc>
          <w:tcPr>
            <w:tcW w:w="3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[0.5,1.0]</w:t>
            </w:r>
          </w:p>
        </w:tc>
      </w:tr>
    </w:tbl>
    <w:p>
      <w:pPr>
        <w:numPr>
          <w:ilvl w:val="-1"/>
          <w:numId w:val="0"/>
        </w:numPr>
        <w:spacing w:line="312" w:lineRule="auto"/>
        <w:rPr>
          <w:rFonts w:hint="default" w:ascii="宋体" w:hAnsi="宋体" w:eastAsia="宋体" w:cs="宋体"/>
          <w:szCs w:val="21"/>
          <w:lang w:val="en-US" w:eastAsia="zh-CN"/>
        </w:rPr>
      </w:pPr>
    </w:p>
    <w:p>
      <w:pPr>
        <w:numPr>
          <w:ilvl w:val="0"/>
          <w:numId w:val="2"/>
        </w:numPr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保险费计算公式</w:t>
      </w:r>
    </w:p>
    <w:p>
      <w:pPr>
        <w:pStyle w:val="3"/>
        <w:numPr>
          <w:ilvl w:val="255"/>
          <w:numId w:val="0"/>
        </w:numPr>
        <w:spacing w:after="156" w:afterLines="50" w:line="360" w:lineRule="auto"/>
        <w:ind w:firstLine="420" w:firstLineChars="200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意外伤害住院津贴保险费＝(每日意外伤害住院日津贴额/10)×意外伤害住院津贴基准保费×</w:t>
      </w:r>
      <w:r>
        <w:rPr>
          <w:rFonts w:hint="eastAsia" w:ascii="宋体" w:hAnsi="宋体" w:eastAsia="宋体" w:cs="宋体"/>
          <w:szCs w:val="21"/>
        </w:rPr>
        <w:t>F1×F</w:t>
      </w:r>
      <w:r>
        <w:rPr>
          <w:rFonts w:hint="eastAsia" w:hAnsi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>×F4×F5×F</w:t>
      </w: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/>
          <w:bCs/>
          <w:szCs w:val="21"/>
        </w:rPr>
        <w:t>×</w:t>
      </w:r>
      <w:r>
        <w:rPr>
          <w:rFonts w:hint="eastAsia" w:ascii="宋体" w:hAnsi="宋体" w:eastAsia="宋体" w:cs="宋体"/>
          <w:szCs w:val="21"/>
        </w:rPr>
        <w:t>F</w:t>
      </w:r>
      <w:r>
        <w:rPr>
          <w:rFonts w:hint="eastAsia" w:hAnsi="宋体" w:cs="宋体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hAnsi="宋体" w:cs="宋体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hAnsi="宋体" w:eastAsia="宋体" w:cs="宋体"/>
          <w:szCs w:val="21"/>
          <w:lang w:val="en-US" w:eastAsia="zh-CN"/>
        </w:rPr>
        <w:t>10</w:t>
      </w:r>
    </w:p>
    <w:p>
      <w:pPr>
        <w:spacing w:after="156" w:afterLines="50" w:line="276" w:lineRule="auto"/>
        <w:ind w:firstLine="420" w:firstLineChars="200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急性病住院津贴保险费＝(每日急性病住院日津贴额/10)×急性病住院津贴基准保费×</w:t>
      </w:r>
      <w:r>
        <w:rPr>
          <w:rFonts w:hint="eastAsia" w:ascii="宋体" w:hAnsi="宋体" w:eastAsia="宋体" w:cs="宋体"/>
          <w:szCs w:val="21"/>
        </w:rPr>
        <w:t>F1×F</w:t>
      </w:r>
      <w:r>
        <w:rPr>
          <w:rFonts w:hint="eastAsia" w:hAnsi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>×F4×F5×F</w:t>
      </w: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</w:rPr>
        <w:t>×F</w:t>
      </w: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/>
          <w:bCs/>
          <w:szCs w:val="21"/>
        </w:rPr>
        <w:t>×</w:t>
      </w:r>
      <w:r>
        <w:rPr>
          <w:rFonts w:hint="eastAsia" w:ascii="宋体" w:hAnsi="宋体" w:eastAsia="宋体" w:cs="宋体"/>
          <w:szCs w:val="21"/>
          <w:lang w:val="en-US" w:eastAsia="zh-CN"/>
        </w:rPr>
        <w:t>F</w:t>
      </w:r>
      <w:bookmarkStart w:id="0" w:name="_GoBack"/>
      <w:bookmarkEnd w:id="0"/>
      <w:r>
        <w:rPr>
          <w:rFonts w:hint="eastAsia" w:ascii="宋体" w:hAnsi="宋体" w:eastAsia="宋体" w:cs="宋体"/>
          <w:szCs w:val="21"/>
          <w:lang w:val="en-US" w:eastAsia="zh-CN"/>
        </w:rPr>
        <w:t>8</w:t>
      </w:r>
    </w:p>
    <w:p>
      <w:pPr>
        <w:spacing w:after="156" w:afterLines="50" w:line="276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保险费＝意外伤害住院津贴保险费+急性病住院津贴保险费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82787098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327488"/>
    <w:multiLevelType w:val="singleLevel"/>
    <w:tmpl w:val="FE32748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707CBAD"/>
    <w:multiLevelType w:val="singleLevel"/>
    <w:tmpl w:val="0707CBA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iMmE0ZjljZDExM2YyODdkMDQ1ZGRhYjY0YmQ5MmQifQ=="/>
  </w:docVars>
  <w:rsids>
    <w:rsidRoot w:val="16E65274"/>
    <w:rsid w:val="000D6E4B"/>
    <w:rsid w:val="004D2711"/>
    <w:rsid w:val="009B591A"/>
    <w:rsid w:val="00A20D40"/>
    <w:rsid w:val="00AB4970"/>
    <w:rsid w:val="00B36FD4"/>
    <w:rsid w:val="00D135E7"/>
    <w:rsid w:val="00E458FB"/>
    <w:rsid w:val="0CFC6B08"/>
    <w:rsid w:val="10172033"/>
    <w:rsid w:val="163137B6"/>
    <w:rsid w:val="16E65274"/>
    <w:rsid w:val="1BEC1D7F"/>
    <w:rsid w:val="1F6A5F2B"/>
    <w:rsid w:val="38C25DC8"/>
    <w:rsid w:val="453C2546"/>
    <w:rsid w:val="497343B8"/>
    <w:rsid w:val="51E615EB"/>
    <w:rsid w:val="564D4BB4"/>
    <w:rsid w:val="5C66505E"/>
    <w:rsid w:val="5CD76A22"/>
    <w:rsid w:val="5D853AE5"/>
    <w:rsid w:val="7019563A"/>
    <w:rsid w:val="775E14A8"/>
    <w:rsid w:val="7C3E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Plain Text"/>
    <w:basedOn w:val="1"/>
    <w:unhideWhenUsed/>
    <w:qFormat/>
    <w:uiPriority w:val="0"/>
    <w:rPr>
      <w:rFonts w:ascii="宋体" w:hAnsi="Courier New" w:cstheme="minorBidi"/>
      <w:szCs w:val="22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qFormat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paragraph" w:customStyle="1" w:styleId="11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2">
    <w:name w:val="页眉 字符"/>
    <w:basedOn w:val="9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  <w:szCs w:val="18"/>
    </w:rPr>
  </w:style>
  <w:style w:type="character" w:customStyle="1" w:styleId="14">
    <w:name w:val="批注文字 字符"/>
    <w:basedOn w:val="9"/>
    <w:link w:val="2"/>
    <w:qFormat/>
    <w:uiPriority w:val="0"/>
    <w:rPr>
      <w:kern w:val="2"/>
      <w:sz w:val="21"/>
      <w:szCs w:val="24"/>
    </w:rPr>
  </w:style>
  <w:style w:type="character" w:customStyle="1" w:styleId="15">
    <w:name w:val="批注主题 字符"/>
    <w:basedOn w:val="14"/>
    <w:link w:val="6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706</Words>
  <Characters>1118</Characters>
  <Lines>7</Lines>
  <Paragraphs>2</Paragraphs>
  <TotalTime>1</TotalTime>
  <ScaleCrop>false</ScaleCrop>
  <LinksUpToDate>false</LinksUpToDate>
  <CharactersWithSpaces>1161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2022-06-14T07:47:00Z</dcterms:created>
  <dc:creator>#broccoli#</dc:creator>
  <cp:lastModifiedBy>Zixuan Shen</cp:lastModifiedBy>
  <dcterms:modified xsi:type="dcterms:W3CDTF">2022-07-05T08:55:53Z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D6427A3A76074A6E818069E4C796A724</vt:lpwstr>
  </property>
</Properties>
</file>