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华农财产保险股份有限公司</w:t>
      </w:r>
    </w:p>
    <w:p>
      <w:pPr>
        <w:jc w:val="center"/>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附加恶性肿瘤特定药品费用保险</w:t>
      </w:r>
      <w:r>
        <w:rPr>
          <w:rFonts w:asciiTheme="majorEastAsia" w:hAnsiTheme="majorEastAsia" w:eastAsiaTheme="majorEastAsia" w:cstheme="majorEastAsia"/>
          <w:b/>
          <w:bCs/>
          <w:sz w:val="28"/>
          <w:szCs w:val="28"/>
        </w:rPr>
        <w:t>A</w:t>
      </w:r>
      <w:r>
        <w:rPr>
          <w:rFonts w:hint="eastAsia" w:asciiTheme="majorEastAsia" w:hAnsiTheme="majorEastAsia" w:eastAsiaTheme="majorEastAsia" w:cstheme="majorEastAsia"/>
          <w:b/>
          <w:bCs/>
          <w:sz w:val="28"/>
          <w:szCs w:val="28"/>
        </w:rPr>
        <w:t>款条款（互联网专属）</w:t>
      </w:r>
    </w:p>
    <w:p>
      <w:pPr>
        <w:jc w:val="cente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b/>
          <w:bCs/>
          <w:sz w:val="28"/>
          <w:szCs w:val="28"/>
          <w:lang w:val="en-US" w:eastAsia="zh-CN"/>
        </w:rPr>
        <w:t>注册编号：</w:t>
      </w:r>
      <w:r>
        <w:rPr>
          <w:rFonts w:hint="eastAsia" w:asciiTheme="majorEastAsia" w:hAnsiTheme="majorEastAsia" w:eastAsiaTheme="majorEastAsia" w:cstheme="majorEastAsia"/>
          <w:b/>
          <w:bCs/>
          <w:sz w:val="28"/>
          <w:szCs w:val="28"/>
        </w:rPr>
        <w:t>C00010132522021120818043</w:t>
      </w:r>
      <w:bookmarkStart w:id="3" w:name="_GoBack"/>
      <w:bookmarkEnd w:id="3"/>
    </w:p>
    <w:p>
      <w:pPr>
        <w:pStyle w:val="14"/>
        <w:autoSpaceDE w:val="0"/>
        <w:autoSpaceDN w:val="0"/>
        <w:adjustRightInd w:val="0"/>
        <w:spacing w:line="360" w:lineRule="auto"/>
        <w:ind w:firstLine="0" w:firstLineChars="0"/>
        <w:jc w:val="center"/>
        <w:rPr>
          <w:rFonts w:ascii="宋体" w:hAnsi="宋体" w:cs="宋体"/>
          <w:b/>
          <w:kern w:val="0"/>
          <w:szCs w:val="21"/>
        </w:rPr>
      </w:pPr>
      <w:r>
        <w:rPr>
          <w:rFonts w:hint="eastAsia" w:ascii="宋体" w:hAnsi="宋体" w:cs="宋体"/>
          <w:b/>
          <w:kern w:val="0"/>
          <w:szCs w:val="21"/>
        </w:rPr>
        <w:t>总则</w:t>
      </w:r>
    </w:p>
    <w:p>
      <w:pPr>
        <w:pStyle w:val="14"/>
        <w:autoSpaceDE w:val="0"/>
        <w:autoSpaceDN w:val="0"/>
        <w:adjustRightInd w:val="0"/>
        <w:spacing w:line="360" w:lineRule="auto"/>
        <w:ind w:firstLineChars="0"/>
        <w:jc w:val="left"/>
        <w:rPr>
          <w:rFonts w:ascii="宋体" w:hAnsi="宋体" w:eastAsia="宋体" w:cs="宋体"/>
          <w:szCs w:val="21"/>
        </w:rPr>
      </w:pPr>
      <w:r>
        <w:rPr>
          <w:rFonts w:hint="eastAsia" w:ascii="宋体" w:hAnsi="宋体" w:eastAsia="宋体" w:cs="宋体"/>
          <w:b/>
          <w:bCs/>
          <w:szCs w:val="21"/>
        </w:rPr>
        <w:t>第一条</w:t>
      </w:r>
      <w:r>
        <w:rPr>
          <w:rFonts w:hint="eastAsia" w:ascii="宋体" w:hAnsi="宋体" w:eastAsia="宋体" w:cs="宋体"/>
          <w:szCs w:val="21"/>
        </w:rPr>
        <w:t xml:space="preserve"> 本附加险合同（以下简称“本附加合同”）可附加于华农财产保险股份有限公司互联网专属的住院医疗类保险合同（以下简称“主险合同”）上。</w:t>
      </w:r>
    </w:p>
    <w:p>
      <w:pPr>
        <w:pStyle w:val="14"/>
        <w:autoSpaceDE w:val="0"/>
        <w:autoSpaceDN w:val="0"/>
        <w:adjustRightInd w:val="0"/>
        <w:spacing w:line="360" w:lineRule="auto"/>
        <w:ind w:firstLineChars="0"/>
        <w:jc w:val="left"/>
        <w:rPr>
          <w:rFonts w:ascii="宋体" w:hAnsi="宋体" w:eastAsia="宋体" w:cs="宋体"/>
          <w:b/>
          <w:szCs w:val="21"/>
        </w:rPr>
      </w:pPr>
      <w:r>
        <w:rPr>
          <w:rFonts w:hint="eastAsia" w:ascii="宋体" w:hAnsi="宋体" w:eastAsia="宋体" w:cs="宋体"/>
          <w:b/>
          <w:szCs w:val="21"/>
        </w:rPr>
        <w:t>本附加合同作为主险合同的组成部分，主险合同效力终止，本附加合同效力亦同时终止；主险合同无效，本附加合同亦无效。本附加合同与主险合同相抵触之处，以本附加合同为准，本附加合同未约定事项，以主险合同为准。</w:t>
      </w:r>
    </w:p>
    <w:p>
      <w:pPr>
        <w:jc w:val="center"/>
        <w:rPr>
          <w:rFonts w:ascii="宋体" w:hAnsi="宋体" w:eastAsia="宋体" w:cs="宋体"/>
          <w:szCs w:val="21"/>
        </w:rPr>
      </w:pPr>
    </w:p>
    <w:p>
      <w:pPr>
        <w:jc w:val="center"/>
        <w:rPr>
          <w:rFonts w:ascii="宋体" w:hAnsi="宋体" w:eastAsia="宋体" w:cs="宋体"/>
          <w:b/>
          <w:bCs/>
          <w:szCs w:val="21"/>
        </w:rPr>
      </w:pPr>
      <w:r>
        <w:rPr>
          <w:rFonts w:hint="eastAsia" w:ascii="宋体" w:hAnsi="宋体" w:eastAsia="宋体" w:cs="宋体"/>
          <w:b/>
          <w:bCs/>
          <w:szCs w:val="21"/>
        </w:rPr>
        <w:t>保险责任</w:t>
      </w:r>
    </w:p>
    <w:p>
      <w:pPr>
        <w:adjustRightInd w:val="0"/>
        <w:snapToGrid w:val="0"/>
        <w:spacing w:line="360" w:lineRule="auto"/>
        <w:ind w:firstLine="422" w:firstLineChars="200"/>
        <w:rPr>
          <w:rFonts w:asciiTheme="minorEastAsia" w:hAnsiTheme="minorEastAsia" w:cstheme="minorEastAsia"/>
          <w:szCs w:val="21"/>
        </w:rPr>
      </w:pPr>
      <w:r>
        <w:rPr>
          <w:rFonts w:hint="eastAsia" w:ascii="宋体" w:hAnsi="宋体" w:eastAsia="宋体" w:cs="宋体"/>
          <w:b/>
          <w:bCs/>
          <w:kern w:val="0"/>
          <w:szCs w:val="21"/>
          <w:lang w:bidi="ar"/>
        </w:rPr>
        <w:t>第二条</w:t>
      </w:r>
      <w:r>
        <w:rPr>
          <w:rFonts w:hint="eastAsia" w:ascii="宋体" w:hAnsi="宋体" w:eastAsia="宋体" w:cs="宋体"/>
          <w:kern w:val="0"/>
          <w:szCs w:val="21"/>
          <w:lang w:bidi="ar"/>
        </w:rPr>
        <w:t xml:space="preserve"> 在本附加合同保险期间内，被保险人于</w:t>
      </w:r>
      <w:r>
        <w:rPr>
          <w:rFonts w:hint="eastAsia" w:ascii="宋体" w:hAnsi="宋体" w:eastAsia="宋体" w:cs="宋体"/>
          <w:b/>
          <w:kern w:val="0"/>
          <w:szCs w:val="21"/>
          <w:lang w:bidi="ar"/>
        </w:rPr>
        <w:t>等待期(见释义1)</w:t>
      </w:r>
      <w:r>
        <w:rPr>
          <w:rFonts w:hint="eastAsia" w:ascii="宋体" w:hAnsi="宋体" w:eastAsia="宋体" w:cs="宋体"/>
          <w:kern w:val="0"/>
          <w:szCs w:val="21"/>
          <w:lang w:bidi="ar"/>
        </w:rPr>
        <w:t>后, 经中华人民共和国境内</w:t>
      </w:r>
      <w:r>
        <w:rPr>
          <w:rFonts w:hint="eastAsia" w:ascii="宋体" w:hAnsi="宋体" w:eastAsia="宋体" w:cs="宋体"/>
          <w:b/>
          <w:bCs/>
          <w:kern w:val="0"/>
          <w:szCs w:val="21"/>
          <w:lang w:bidi="ar"/>
        </w:rPr>
        <w:t>（不包括香港、澳门、台湾地区）</w:t>
      </w:r>
      <w:r>
        <w:rPr>
          <w:rFonts w:hint="eastAsia" w:ascii="宋体" w:hAnsi="宋体" w:eastAsia="宋体" w:cs="宋体"/>
          <w:b/>
          <w:kern w:val="0"/>
          <w:szCs w:val="21"/>
          <w:lang w:bidi="ar"/>
        </w:rPr>
        <w:t>医院（见释义2）</w:t>
      </w:r>
      <w:r>
        <w:rPr>
          <w:rFonts w:hint="eastAsia" w:ascii="宋体" w:hAnsi="宋体" w:eastAsia="宋体" w:cs="宋体"/>
          <w:kern w:val="0"/>
          <w:szCs w:val="21"/>
          <w:lang w:bidi="ar"/>
        </w:rPr>
        <w:t>的</w:t>
      </w:r>
      <w:r>
        <w:rPr>
          <w:rFonts w:hint="eastAsia" w:ascii="宋体" w:hAnsi="宋体" w:eastAsia="宋体" w:cs="宋体"/>
          <w:b/>
          <w:kern w:val="0"/>
          <w:szCs w:val="21"/>
          <w:lang w:bidi="ar"/>
        </w:rPr>
        <w:t>专科医生（见释义3）初次确诊</w:t>
      </w:r>
      <w:r>
        <w:rPr>
          <w:rFonts w:hint="eastAsia" w:ascii="宋体" w:hAnsi="宋体" w:eastAsia="宋体" w:cs="宋体"/>
          <w:b/>
          <w:bCs/>
          <w:kern w:val="0"/>
          <w:szCs w:val="21"/>
          <w:lang w:bidi="ar"/>
        </w:rPr>
        <w:t>（见释义4）</w:t>
      </w:r>
      <w:r>
        <w:rPr>
          <w:rFonts w:hint="eastAsia" w:ascii="宋体" w:hAnsi="宋体" w:eastAsia="宋体" w:cs="宋体"/>
          <w:kern w:val="0"/>
          <w:szCs w:val="21"/>
          <w:lang w:bidi="ar"/>
        </w:rPr>
        <w:t>本附加合同所定义的</w:t>
      </w:r>
      <w:r>
        <w:rPr>
          <w:rFonts w:hint="eastAsia" w:asciiTheme="minorEastAsia" w:hAnsiTheme="minorEastAsia" w:cstheme="minorEastAsia"/>
          <w:b/>
        </w:rPr>
        <w:t>恶性肿瘤</w:t>
      </w:r>
      <w:r>
        <w:rPr>
          <w:rFonts w:hint="eastAsia" w:ascii="宋体" w:hAnsi="宋体" w:eastAsia="宋体" w:cs="宋体"/>
          <w:b/>
          <w:kern w:val="0"/>
          <w:szCs w:val="21"/>
          <w:lang w:bidi="ar"/>
        </w:rPr>
        <w:t>（见释义5）</w:t>
      </w:r>
      <w:r>
        <w:rPr>
          <w:rFonts w:hint="eastAsia" w:ascii="宋体" w:hAnsi="宋体" w:eastAsia="宋体" w:cs="宋体"/>
          <w:kern w:val="0"/>
          <w:szCs w:val="21"/>
          <w:lang w:bidi="ar"/>
        </w:rPr>
        <w:t>，</w:t>
      </w:r>
      <w:r>
        <w:rPr>
          <w:rFonts w:hint="eastAsia" w:ascii="宋体" w:hAnsi="宋体" w:eastAsia="宋体" w:cs="宋体"/>
          <w:kern w:val="0"/>
          <w:szCs w:val="21"/>
        </w:rPr>
        <w:t>对治疗实际发生的</w:t>
      </w:r>
      <w:r>
        <w:rPr>
          <w:rFonts w:hint="eastAsia" w:ascii="宋体" w:hAnsi="宋体" w:eastAsia="宋体" w:cs="宋体"/>
          <w:bCs/>
          <w:kern w:val="0"/>
          <w:szCs w:val="21"/>
        </w:rPr>
        <w:t>必需且合理</w:t>
      </w:r>
      <w:r>
        <w:rPr>
          <w:rFonts w:hint="eastAsia" w:ascii="宋体" w:hAnsi="宋体" w:eastAsia="宋体" w:cs="宋体"/>
          <w:kern w:val="0"/>
          <w:szCs w:val="21"/>
        </w:rPr>
        <w:t>的且同时满足以下条件的</w:t>
      </w:r>
      <w:r>
        <w:rPr>
          <w:rFonts w:hint="eastAsia" w:ascii="宋体" w:hAnsi="宋体" w:eastAsia="宋体" w:cs="宋体"/>
          <w:b/>
          <w:bCs/>
          <w:kern w:val="0"/>
          <w:szCs w:val="21"/>
        </w:rPr>
        <w:t>指定药店</w:t>
      </w:r>
      <w:r>
        <w:rPr>
          <w:rFonts w:hint="eastAsia" w:ascii="宋体" w:hAnsi="宋体" w:eastAsia="宋体" w:cs="宋体"/>
          <w:b/>
          <w:kern w:val="0"/>
          <w:szCs w:val="21"/>
        </w:rPr>
        <w:t>(</w:t>
      </w:r>
      <w:r>
        <w:rPr>
          <w:rFonts w:hint="eastAsia" w:ascii="宋体" w:hAnsi="宋体" w:eastAsia="宋体" w:cs="宋体"/>
          <w:b/>
          <w:bCs/>
          <w:szCs w:val="21"/>
        </w:rPr>
        <w:t>见释义</w:t>
      </w:r>
      <w:r>
        <w:rPr>
          <w:rFonts w:hint="eastAsia" w:ascii="宋体" w:hAnsi="宋体" w:eastAsia="宋体" w:cs="宋体"/>
          <w:b/>
          <w:kern w:val="0"/>
          <w:szCs w:val="21"/>
        </w:rPr>
        <w:t>6）</w:t>
      </w:r>
      <w:r>
        <w:rPr>
          <w:rFonts w:hint="eastAsia" w:ascii="宋体" w:hAnsi="宋体" w:eastAsia="宋体" w:cs="宋体"/>
          <w:kern w:val="0"/>
          <w:szCs w:val="21"/>
        </w:rPr>
        <w:t>购买的</w:t>
      </w:r>
      <w:r>
        <w:rPr>
          <w:rFonts w:hint="eastAsia" w:ascii="宋体" w:hAnsi="宋体" w:eastAsia="宋体" w:cs="宋体"/>
          <w:b/>
          <w:bCs/>
          <w:kern w:val="0"/>
          <w:szCs w:val="21"/>
        </w:rPr>
        <w:t>特定药品</w:t>
      </w:r>
      <w:r>
        <w:rPr>
          <w:rFonts w:hint="eastAsia" w:ascii="宋体" w:hAnsi="宋体" w:eastAsia="宋体" w:cs="宋体"/>
          <w:b/>
          <w:kern w:val="0"/>
          <w:szCs w:val="21"/>
        </w:rPr>
        <w:t>（</w:t>
      </w:r>
      <w:r>
        <w:rPr>
          <w:rFonts w:hint="eastAsia" w:ascii="宋体" w:hAnsi="宋体" w:eastAsia="宋体" w:cs="宋体"/>
          <w:b/>
          <w:bCs/>
          <w:szCs w:val="21"/>
        </w:rPr>
        <w:t>见释义</w:t>
      </w:r>
      <w:r>
        <w:rPr>
          <w:rFonts w:hint="eastAsia" w:ascii="宋体" w:hAnsi="宋体" w:eastAsia="宋体" w:cs="宋体"/>
          <w:b/>
          <w:kern w:val="0"/>
          <w:szCs w:val="21"/>
        </w:rPr>
        <w:t>7）</w:t>
      </w:r>
      <w:r>
        <w:rPr>
          <w:rFonts w:hint="eastAsia" w:ascii="宋体" w:hAnsi="宋体" w:eastAsia="宋体" w:cs="宋体"/>
          <w:kern w:val="0"/>
          <w:szCs w:val="21"/>
        </w:rPr>
        <w:t>费用，</w:t>
      </w:r>
      <w:r>
        <w:rPr>
          <w:rFonts w:hint="eastAsia" w:ascii="宋体" w:hAnsi="宋体" w:eastAsia="宋体" w:cs="宋体"/>
          <w:b/>
          <w:bCs/>
          <w:kern w:val="0"/>
          <w:szCs w:val="21"/>
        </w:rPr>
        <w:t>保险人按照合同约定的给付比例给付恶性肿瘤特定药品费用保险金。</w:t>
      </w:r>
      <w:bookmarkStart w:id="0" w:name="_Hlk31887909"/>
      <w:r>
        <w:rPr>
          <w:rFonts w:hint="eastAsia" w:asciiTheme="minorEastAsia" w:hAnsiTheme="minorEastAsia" w:cstheme="minorEastAsia"/>
          <w:szCs w:val="21"/>
        </w:rPr>
        <w:t>保险金的给付范围包括如下两项：</w:t>
      </w:r>
    </w:p>
    <w:p>
      <w:pPr>
        <w:adjustRightInd w:val="0"/>
        <w:snapToGrid w:val="0"/>
        <w:spacing w:line="360" w:lineRule="auto"/>
        <w:ind w:firstLine="422" w:firstLineChars="200"/>
        <w:jc w:val="left"/>
        <w:rPr>
          <w:rFonts w:asciiTheme="minorEastAsia" w:hAnsiTheme="minorEastAsia" w:cstheme="minorEastAsia"/>
          <w:b/>
          <w:szCs w:val="21"/>
        </w:rPr>
      </w:pPr>
      <w:r>
        <w:rPr>
          <w:rFonts w:asciiTheme="minorEastAsia" w:hAnsiTheme="minorEastAsia" w:cstheme="minorEastAsia"/>
          <w:b/>
          <w:szCs w:val="21"/>
        </w:rPr>
        <w:t>1、</w:t>
      </w:r>
      <w:r>
        <w:rPr>
          <w:rFonts w:hint="eastAsia" w:asciiTheme="minorEastAsia" w:hAnsiTheme="minorEastAsia" w:cstheme="minorEastAsia"/>
          <w:b/>
          <w:szCs w:val="21"/>
        </w:rPr>
        <w:t>特定药品费用保险金</w:t>
      </w:r>
      <w:r>
        <w:rPr>
          <w:rFonts w:asciiTheme="minorEastAsia" w:hAnsiTheme="minorEastAsia" w:cstheme="minorEastAsia"/>
          <w:b/>
          <w:szCs w:val="21"/>
        </w:rPr>
        <w:t>-</w:t>
      </w:r>
      <w:r>
        <w:rPr>
          <w:rFonts w:hint="eastAsia" w:asciiTheme="minorEastAsia" w:hAnsiTheme="minorEastAsia" w:cstheme="minorEastAsia"/>
          <w:b/>
          <w:szCs w:val="21"/>
        </w:rPr>
        <w:t>中国国家药品监督管理局批准且已在中国境内（不包含港澳台地区）上市的靶向药物（</w:t>
      </w:r>
      <w:r>
        <w:rPr>
          <w:rFonts w:hint="eastAsia" w:ascii="宋体" w:hAnsi="宋体" w:eastAsia="宋体" w:cs="宋体"/>
          <w:b/>
          <w:bCs/>
          <w:szCs w:val="21"/>
        </w:rPr>
        <w:t>见释义</w:t>
      </w:r>
      <w:r>
        <w:rPr>
          <w:rFonts w:hint="eastAsia" w:asciiTheme="minorEastAsia" w:hAnsiTheme="minorEastAsia" w:cstheme="minorEastAsia"/>
          <w:b/>
          <w:szCs w:val="21"/>
        </w:rPr>
        <w:t>8）和免疫治疗药物（</w:t>
      </w:r>
      <w:r>
        <w:rPr>
          <w:rFonts w:hint="eastAsia" w:ascii="宋体" w:hAnsi="宋体" w:eastAsia="宋体" w:cs="宋体"/>
          <w:b/>
          <w:bCs/>
          <w:szCs w:val="21"/>
        </w:rPr>
        <w:t>见释义</w:t>
      </w:r>
      <w:r>
        <w:rPr>
          <w:rFonts w:hint="eastAsia" w:asciiTheme="minorEastAsia" w:hAnsiTheme="minorEastAsia" w:cstheme="minorEastAsia"/>
          <w:b/>
          <w:szCs w:val="21"/>
        </w:rPr>
        <w:t>9）</w:t>
      </w:r>
    </w:p>
    <w:p>
      <w:pPr>
        <w:adjustRightInd w:val="0"/>
        <w:snapToGrid w:val="0"/>
        <w:spacing w:line="360" w:lineRule="auto"/>
        <w:ind w:firstLine="422" w:firstLineChars="200"/>
        <w:jc w:val="left"/>
        <w:rPr>
          <w:rFonts w:asciiTheme="minorEastAsia" w:hAnsiTheme="minorEastAsia" w:cstheme="minorEastAsia"/>
          <w:b/>
          <w:szCs w:val="21"/>
        </w:rPr>
      </w:pPr>
      <w:r>
        <w:rPr>
          <w:rFonts w:hint="eastAsia" w:asciiTheme="minorEastAsia" w:hAnsiTheme="minorEastAsia" w:cstheme="minorEastAsia"/>
          <w:b/>
          <w:szCs w:val="21"/>
        </w:rPr>
        <w:t>保险人给付本项保险金须同时满足以下条件：</w:t>
      </w:r>
    </w:p>
    <w:p>
      <w:pPr>
        <w:adjustRightInd w:val="0"/>
        <w:snapToGrid w:val="0"/>
        <w:spacing w:line="360" w:lineRule="auto"/>
        <w:ind w:firstLine="420" w:firstLineChars="200"/>
        <w:jc w:val="left"/>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1</w:t>
      </w:r>
      <w:r>
        <w:rPr>
          <w:rFonts w:hint="eastAsia" w:asciiTheme="minorEastAsia" w:hAnsiTheme="minorEastAsia" w:cstheme="minorEastAsia"/>
          <w:bCs/>
          <w:szCs w:val="21"/>
        </w:rPr>
        <w:t>）该特定药品须由医院专科医生开具</w:t>
      </w:r>
      <w:r>
        <w:rPr>
          <w:rFonts w:hint="eastAsia" w:asciiTheme="minorEastAsia" w:hAnsiTheme="minorEastAsia" w:cstheme="minorEastAsia"/>
          <w:b/>
          <w:bCs/>
          <w:szCs w:val="21"/>
        </w:rPr>
        <w:t>处方（</w:t>
      </w:r>
      <w:r>
        <w:rPr>
          <w:rFonts w:hint="eastAsia" w:ascii="宋体" w:hAnsi="宋体" w:eastAsia="宋体" w:cs="宋体"/>
          <w:b/>
          <w:bCs/>
          <w:szCs w:val="21"/>
        </w:rPr>
        <w:t>见释义</w:t>
      </w:r>
      <w:r>
        <w:rPr>
          <w:rFonts w:asciiTheme="minorEastAsia" w:hAnsiTheme="minorEastAsia" w:cstheme="minorEastAsia"/>
          <w:b/>
          <w:bCs/>
          <w:szCs w:val="21"/>
        </w:rPr>
        <w:t>10</w:t>
      </w:r>
      <w:r>
        <w:rPr>
          <w:rFonts w:hint="eastAsia" w:asciiTheme="minorEastAsia" w:hAnsiTheme="minorEastAsia" w:cstheme="minorEastAsia"/>
          <w:b/>
          <w:bCs/>
          <w:szCs w:val="21"/>
        </w:rPr>
        <w:t>）</w:t>
      </w:r>
      <w:r>
        <w:rPr>
          <w:rFonts w:hint="eastAsia" w:asciiTheme="minorEastAsia" w:hAnsiTheme="minorEastAsia" w:cstheme="minorEastAsia"/>
          <w:bCs/>
          <w:szCs w:val="21"/>
        </w:rPr>
        <w:t>且为被保险人当前治疗所罹患恶性肿瘤必需且合理的药品；</w:t>
      </w:r>
    </w:p>
    <w:p>
      <w:pPr>
        <w:adjustRightInd w:val="0"/>
        <w:snapToGrid w:val="0"/>
        <w:spacing w:line="360" w:lineRule="auto"/>
        <w:ind w:firstLine="420" w:firstLineChars="200"/>
        <w:jc w:val="left"/>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2</w:t>
      </w:r>
      <w:r>
        <w:rPr>
          <w:rFonts w:hint="eastAsia" w:asciiTheme="minorEastAsia" w:hAnsiTheme="minorEastAsia" w:cstheme="minorEastAsia"/>
          <w:bCs/>
          <w:szCs w:val="21"/>
        </w:rPr>
        <w:t>）每次特定药品开具的处方需为当前每日治疗必需且合理的剂量，且不超过</w:t>
      </w:r>
      <w:r>
        <w:rPr>
          <w:rFonts w:asciiTheme="minorEastAsia" w:hAnsiTheme="minorEastAsia" w:cstheme="minorEastAsia"/>
          <w:bCs/>
          <w:szCs w:val="21"/>
        </w:rPr>
        <w:t>30天</w:t>
      </w:r>
      <w:r>
        <w:rPr>
          <w:rFonts w:hint="eastAsia" w:asciiTheme="minorEastAsia" w:hAnsiTheme="minorEastAsia" w:cstheme="minorEastAsia"/>
          <w:bCs/>
          <w:szCs w:val="21"/>
        </w:rPr>
        <w:t>；</w:t>
      </w:r>
    </w:p>
    <w:p>
      <w:pPr>
        <w:adjustRightInd w:val="0"/>
        <w:snapToGrid w:val="0"/>
        <w:spacing w:line="360" w:lineRule="auto"/>
        <w:ind w:firstLine="420" w:firstLineChars="200"/>
        <w:jc w:val="left"/>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3</w:t>
      </w:r>
      <w:r>
        <w:rPr>
          <w:rFonts w:hint="eastAsia" w:asciiTheme="minorEastAsia" w:hAnsiTheme="minorEastAsia" w:cstheme="minorEastAsia"/>
          <w:bCs/>
          <w:szCs w:val="21"/>
        </w:rPr>
        <w:t>）保险人承担保险期间发生的并延续至本附加合同保险期间届满日后</w:t>
      </w:r>
      <w:r>
        <w:rPr>
          <w:rFonts w:asciiTheme="minorEastAsia" w:hAnsiTheme="minorEastAsia" w:cstheme="minorEastAsia"/>
          <w:bCs/>
          <w:szCs w:val="21"/>
        </w:rPr>
        <w:t>30日内（含第30日）发生的特定药品费用</w:t>
      </w:r>
      <w:r>
        <w:rPr>
          <w:rFonts w:hint="eastAsia" w:asciiTheme="minorEastAsia" w:hAnsiTheme="minorEastAsia" w:cstheme="minorEastAsia"/>
          <w:bCs/>
          <w:szCs w:val="21"/>
        </w:rPr>
        <w:t>；</w:t>
      </w:r>
    </w:p>
    <w:p>
      <w:pPr>
        <w:adjustRightInd w:val="0"/>
        <w:snapToGrid w:val="0"/>
        <w:spacing w:line="360" w:lineRule="auto"/>
        <w:ind w:firstLine="420" w:firstLineChars="200"/>
        <w:jc w:val="left"/>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4</w:t>
      </w:r>
      <w:r>
        <w:rPr>
          <w:rFonts w:hint="eastAsia" w:asciiTheme="minorEastAsia" w:hAnsiTheme="minorEastAsia" w:cstheme="minorEastAsia"/>
          <w:bCs/>
          <w:szCs w:val="21"/>
        </w:rPr>
        <w:t>）该特定药品必须为本附加合同</w:t>
      </w:r>
      <w:r>
        <w:rPr>
          <w:rFonts w:hint="eastAsia" w:asciiTheme="minorEastAsia" w:hAnsiTheme="minorEastAsia" w:cstheme="minorEastAsia"/>
          <w:szCs w:val="21"/>
        </w:rPr>
        <w:t>到</w:t>
      </w:r>
      <w:r>
        <w:rPr>
          <w:rFonts w:hint="eastAsia" w:asciiTheme="minorEastAsia" w:hAnsiTheme="minorEastAsia" w:cstheme="minorEastAsia"/>
          <w:bCs/>
          <w:szCs w:val="21"/>
        </w:rPr>
        <w:t>期日前经中国国家药品监督管理局批准且已在中国境内</w:t>
      </w:r>
      <w:r>
        <w:rPr>
          <w:rFonts w:hint="eastAsia" w:asciiTheme="minorEastAsia" w:hAnsiTheme="minorEastAsia" w:cstheme="minorEastAsia"/>
          <w:b/>
          <w:szCs w:val="21"/>
        </w:rPr>
        <w:t>（不包含港澳台地区）</w:t>
      </w:r>
      <w:r>
        <w:rPr>
          <w:rFonts w:hint="eastAsia" w:asciiTheme="minorEastAsia" w:hAnsiTheme="minorEastAsia" w:cstheme="minorEastAsia"/>
          <w:bCs/>
          <w:szCs w:val="21"/>
        </w:rPr>
        <w:t>上市的靶向药物和免疫治疗药物，且在约定的</w:t>
      </w:r>
      <w:r>
        <w:rPr>
          <w:rFonts w:hint="eastAsia" w:asciiTheme="minorEastAsia" w:hAnsiTheme="minorEastAsia" w:cstheme="minorEastAsia"/>
          <w:b/>
          <w:bCs/>
          <w:szCs w:val="21"/>
        </w:rPr>
        <w:t>药品清单（</w:t>
      </w:r>
      <w:r>
        <w:rPr>
          <w:rFonts w:hint="eastAsia" w:ascii="宋体" w:hAnsi="宋体" w:eastAsia="宋体" w:cs="宋体"/>
          <w:b/>
          <w:bCs/>
          <w:szCs w:val="21"/>
        </w:rPr>
        <w:t>见释义</w:t>
      </w:r>
      <w:r>
        <w:rPr>
          <w:rFonts w:asciiTheme="minorEastAsia" w:hAnsiTheme="minorEastAsia" w:cstheme="minorEastAsia"/>
          <w:b/>
          <w:bCs/>
          <w:szCs w:val="21"/>
        </w:rPr>
        <w:t>11）</w:t>
      </w:r>
      <w:r>
        <w:rPr>
          <w:rFonts w:hint="eastAsia" w:asciiTheme="minorEastAsia" w:hAnsiTheme="minorEastAsia" w:cstheme="minorEastAsia"/>
          <w:bCs/>
          <w:szCs w:val="21"/>
        </w:rPr>
        <w:t>列表中；</w:t>
      </w:r>
    </w:p>
    <w:p>
      <w:pPr>
        <w:adjustRightInd w:val="0"/>
        <w:snapToGrid w:val="0"/>
        <w:spacing w:line="360" w:lineRule="auto"/>
        <w:ind w:firstLine="420" w:firstLineChars="200"/>
        <w:jc w:val="left"/>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5</w:t>
      </w:r>
      <w:r>
        <w:rPr>
          <w:rFonts w:hint="eastAsia" w:asciiTheme="minorEastAsia" w:hAnsiTheme="minorEastAsia" w:cstheme="minorEastAsia"/>
          <w:bCs/>
          <w:szCs w:val="21"/>
        </w:rPr>
        <w:t>）特定药品处方的开具与国家药品监督管理局批准的该药品说明书中所列明的适应症及用法、用量相符；</w:t>
      </w:r>
    </w:p>
    <w:p>
      <w:pPr>
        <w:adjustRightInd w:val="0"/>
        <w:snapToGrid w:val="0"/>
        <w:spacing w:line="360" w:lineRule="auto"/>
        <w:ind w:firstLine="420" w:firstLineChars="200"/>
        <w:jc w:val="left"/>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6</w:t>
      </w:r>
      <w:r>
        <w:rPr>
          <w:rFonts w:hint="eastAsia" w:asciiTheme="minorEastAsia" w:hAnsiTheme="minorEastAsia" w:cstheme="minorEastAsia"/>
          <w:bCs/>
          <w:szCs w:val="21"/>
        </w:rPr>
        <w:t>）被保险人购买处方中所列特定药品前</w:t>
      </w:r>
      <w:r>
        <w:rPr>
          <w:rFonts w:asciiTheme="minorEastAsia" w:hAnsiTheme="minorEastAsia" w:cstheme="minorEastAsia"/>
          <w:bCs/>
          <w:szCs w:val="21"/>
        </w:rPr>
        <w:t>,需按保险人指定流程提交相应材料并通过处方审核,</w:t>
      </w:r>
      <w:r>
        <w:rPr>
          <w:rFonts w:hint="eastAsia" w:asciiTheme="minorEastAsia" w:hAnsiTheme="minorEastAsia" w:cstheme="minorEastAsia"/>
          <w:bCs/>
          <w:szCs w:val="21"/>
        </w:rPr>
        <w:t>通过处方审核后需前往保险人指定药店购买处方中所列的特定药品。具体流程详见“特定药品购药服务流程”。</w:t>
      </w:r>
      <w:bookmarkEnd w:id="0"/>
    </w:p>
    <w:p>
      <w:pPr>
        <w:adjustRightInd w:val="0"/>
        <w:snapToGrid w:val="0"/>
        <w:spacing w:line="360" w:lineRule="auto"/>
        <w:ind w:firstLine="422" w:firstLineChars="200"/>
        <w:rPr>
          <w:rFonts w:asciiTheme="minorEastAsia" w:hAnsiTheme="minorEastAsia" w:cstheme="minorEastAsia"/>
          <w:b/>
          <w:bCs/>
          <w:szCs w:val="21"/>
        </w:rPr>
      </w:pPr>
      <w:r>
        <w:rPr>
          <w:rFonts w:hint="eastAsia" w:asciiTheme="minorEastAsia" w:hAnsiTheme="minorEastAsia" w:cstheme="minorEastAsia"/>
          <w:b/>
          <w:bCs/>
          <w:szCs w:val="21"/>
        </w:rPr>
        <w:t>2、特定药品费用保险金-</w:t>
      </w:r>
      <w:r>
        <w:rPr>
          <w:rFonts w:hint="eastAsia" w:asciiTheme="minorEastAsia" w:hAnsiTheme="minorEastAsia" w:cstheme="minorEastAsia"/>
          <w:b/>
          <w:szCs w:val="21"/>
        </w:rPr>
        <w:t>海南博鳌乐城国际医疗旅游先行区临床急需进口药品费用</w:t>
      </w:r>
    </w:p>
    <w:p>
      <w:pPr>
        <w:adjustRightInd w:val="0"/>
        <w:snapToGrid w:val="0"/>
        <w:spacing w:line="360" w:lineRule="auto"/>
        <w:ind w:firstLine="420" w:firstLineChars="200"/>
        <w:rPr>
          <w:rFonts w:asciiTheme="minorEastAsia" w:hAnsiTheme="minorEastAsia" w:cstheme="minorEastAsia"/>
          <w:bCs/>
          <w:szCs w:val="21"/>
        </w:rPr>
      </w:pPr>
      <w:r>
        <w:rPr>
          <w:rFonts w:hint="eastAsia" w:asciiTheme="minorEastAsia" w:hAnsiTheme="minorEastAsia" w:cstheme="minorEastAsia"/>
          <w:szCs w:val="21"/>
        </w:rPr>
        <w:t>被保险人因持续治疗该恶性肿瘤于</w:t>
      </w:r>
      <w:r>
        <w:rPr>
          <w:rFonts w:hint="eastAsia" w:asciiTheme="minorEastAsia" w:hAnsiTheme="minorEastAsia" w:cstheme="minorEastAsia"/>
          <w:b/>
          <w:szCs w:val="21"/>
        </w:rPr>
        <w:t>海南博鳌乐城国际医疗旅游先行区特定医疗机构（</w:t>
      </w:r>
      <w:r>
        <w:rPr>
          <w:rFonts w:hint="eastAsia" w:ascii="宋体" w:hAnsi="宋体" w:eastAsia="宋体" w:cs="宋体"/>
          <w:b/>
          <w:bCs/>
          <w:szCs w:val="21"/>
        </w:rPr>
        <w:t>见释义</w:t>
      </w:r>
      <w:r>
        <w:rPr>
          <w:rFonts w:hint="eastAsia" w:asciiTheme="minorEastAsia" w:hAnsiTheme="minorEastAsia" w:cstheme="minorEastAsia"/>
          <w:b/>
          <w:szCs w:val="21"/>
        </w:rPr>
        <w:t>12）（以下简称“特定医疗机构”）</w:t>
      </w:r>
      <w:r>
        <w:rPr>
          <w:rFonts w:hint="eastAsia" w:asciiTheme="minorEastAsia" w:hAnsiTheme="minorEastAsia" w:cstheme="minorEastAsia"/>
          <w:szCs w:val="21"/>
        </w:rPr>
        <w:t>发生</w:t>
      </w:r>
      <w:r>
        <w:rPr>
          <w:rFonts w:hint="eastAsia" w:asciiTheme="minorEastAsia" w:hAnsiTheme="minorEastAsia" w:cstheme="minorEastAsia"/>
          <w:b/>
          <w:szCs w:val="21"/>
        </w:rPr>
        <w:t>临床急需进口药品（以下简称“进口药品”）</w:t>
      </w:r>
      <w:r>
        <w:rPr>
          <w:rFonts w:hint="eastAsia" w:asciiTheme="minorEastAsia" w:hAnsiTheme="minorEastAsia" w:cstheme="minorEastAsia"/>
          <w:szCs w:val="21"/>
        </w:rPr>
        <w:t>费用的，对于符合本附加合同约定的“</w:t>
      </w:r>
      <w:r>
        <w:rPr>
          <w:rFonts w:hint="eastAsia" w:asciiTheme="minorEastAsia" w:hAnsiTheme="minorEastAsia" w:cstheme="minorEastAsia"/>
          <w:b/>
          <w:szCs w:val="21"/>
        </w:rPr>
        <w:t>海南博鳌乐城国际医疗旅游先行区临床急需进口药品</w:t>
      </w:r>
      <w:r>
        <w:rPr>
          <w:rFonts w:hint="eastAsia" w:cs="宋体" w:asciiTheme="minorEastAsia" w:hAnsiTheme="minorEastAsia"/>
          <w:b/>
          <w:bCs/>
          <w:kern w:val="0"/>
          <w:szCs w:val="21"/>
        </w:rPr>
        <w:t>购药服务流程</w:t>
      </w:r>
      <w:r>
        <w:rPr>
          <w:rFonts w:hint="eastAsia" w:asciiTheme="minorEastAsia" w:hAnsiTheme="minorEastAsia" w:cstheme="minorEastAsia"/>
          <w:szCs w:val="21"/>
        </w:rPr>
        <w:t>”</w:t>
      </w:r>
      <w:r>
        <w:rPr>
          <w:rFonts w:hint="eastAsia" w:asciiTheme="minorEastAsia" w:hAnsiTheme="minorEastAsia" w:cstheme="minorEastAsia"/>
          <w:b/>
          <w:szCs w:val="21"/>
        </w:rPr>
        <w:t>（以下简称“进口药品购药服务流程”）</w:t>
      </w:r>
      <w:r>
        <w:rPr>
          <w:rFonts w:hint="eastAsia" w:asciiTheme="minorEastAsia" w:hAnsiTheme="minorEastAsia" w:cstheme="minorEastAsia"/>
          <w:szCs w:val="21"/>
        </w:rPr>
        <w:t>且满足以下条件，保险人向被保险人给付进口药品费用保险金：</w:t>
      </w:r>
    </w:p>
    <w:p>
      <w:pPr>
        <w:adjustRightInd w:val="0"/>
        <w:snapToGrid w:val="0"/>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bCs/>
          <w:szCs w:val="21"/>
        </w:rPr>
        <w:t>（1）</w:t>
      </w:r>
      <w:r>
        <w:rPr>
          <w:rFonts w:hint="eastAsia" w:asciiTheme="minorEastAsia" w:hAnsiTheme="minorEastAsia" w:cstheme="minorEastAsia"/>
          <w:szCs w:val="21"/>
        </w:rPr>
        <w:t>用于治疗该恶性肿瘤的进口药品的处方是由特定医疗机构专科医生开具的；</w:t>
      </w:r>
    </w:p>
    <w:p>
      <w:pPr>
        <w:adjustRightInd w:val="0"/>
        <w:snapToGrid w:val="0"/>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bCs/>
          <w:szCs w:val="21"/>
        </w:rPr>
        <w:t>（2）</w:t>
      </w:r>
      <w:r>
        <w:rPr>
          <w:rFonts w:asciiTheme="minorEastAsia" w:hAnsiTheme="minorEastAsia"/>
        </w:rPr>
        <w:t>每次特定药品开具的处方需为当前每日治疗</w:t>
      </w:r>
      <w:r>
        <w:rPr>
          <w:rFonts w:hint="eastAsia" w:asciiTheme="minorEastAsia" w:hAnsiTheme="minorEastAsia"/>
        </w:rPr>
        <w:t>必需且合理的</w:t>
      </w:r>
      <w:r>
        <w:rPr>
          <w:rFonts w:asciiTheme="minorEastAsia" w:hAnsiTheme="minorEastAsia"/>
        </w:rPr>
        <w:t>剂量</w:t>
      </w:r>
      <w:r>
        <w:rPr>
          <w:rFonts w:hint="eastAsia" w:asciiTheme="minorEastAsia" w:hAnsiTheme="minorEastAsia"/>
        </w:rPr>
        <w:t>，且不超过30天；</w:t>
      </w:r>
    </w:p>
    <w:p>
      <w:pPr>
        <w:adjustRightInd w:val="0"/>
        <w:snapToGrid w:val="0"/>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bCs/>
          <w:szCs w:val="21"/>
        </w:rPr>
        <w:t>（3）</w:t>
      </w:r>
      <w:r>
        <w:rPr>
          <w:rFonts w:hint="eastAsia" w:asciiTheme="minorEastAsia" w:hAnsiTheme="minorEastAsia" w:cstheme="minorEastAsia"/>
          <w:szCs w:val="21"/>
        </w:rPr>
        <w:t>上述药品处方中所列明的进口药品属于保险人指定的</w:t>
      </w:r>
      <w:r>
        <w:rPr>
          <w:rFonts w:hint="eastAsia" w:asciiTheme="minorEastAsia" w:hAnsiTheme="minorEastAsia" w:cstheme="minorEastAsia"/>
          <w:b/>
          <w:szCs w:val="21"/>
        </w:rPr>
        <w:t>临床急需进口药品清单</w:t>
      </w:r>
      <w:r>
        <w:rPr>
          <w:rFonts w:hint="eastAsia" w:asciiTheme="minorEastAsia" w:hAnsiTheme="minorEastAsia" w:cstheme="minorEastAsia"/>
          <w:b/>
          <w:bCs/>
          <w:szCs w:val="21"/>
        </w:rPr>
        <w:t>（</w:t>
      </w:r>
      <w:r>
        <w:rPr>
          <w:rFonts w:hint="eastAsia" w:ascii="宋体" w:hAnsi="宋体" w:eastAsia="宋体" w:cs="宋体"/>
          <w:b/>
          <w:bCs/>
          <w:szCs w:val="21"/>
        </w:rPr>
        <w:t>见释义</w:t>
      </w:r>
      <w:r>
        <w:rPr>
          <w:rFonts w:hint="eastAsia" w:asciiTheme="minorEastAsia" w:hAnsiTheme="minorEastAsia" w:cstheme="minorEastAsia"/>
          <w:b/>
          <w:bCs/>
          <w:szCs w:val="21"/>
        </w:rPr>
        <w:t>13）</w:t>
      </w:r>
      <w:r>
        <w:rPr>
          <w:rFonts w:hint="eastAsia" w:asciiTheme="minorEastAsia" w:hAnsiTheme="minorEastAsia" w:cstheme="minorEastAsia"/>
          <w:szCs w:val="21"/>
        </w:rPr>
        <w:t>中的药品；</w:t>
      </w:r>
    </w:p>
    <w:p>
      <w:pPr>
        <w:adjustRightInd w:val="0"/>
        <w:snapToGrid w:val="0"/>
        <w:spacing w:line="360" w:lineRule="auto"/>
        <w:ind w:firstLine="420" w:firstLineChars="200"/>
        <w:rPr>
          <w:rFonts w:asciiTheme="minorEastAsia" w:hAnsiTheme="minorEastAsia" w:cstheme="minorEastAsia"/>
          <w:bCs/>
          <w:szCs w:val="21"/>
        </w:rPr>
      </w:pPr>
      <w:r>
        <w:rPr>
          <w:rFonts w:hint="eastAsia" w:asciiTheme="minorEastAsia" w:hAnsiTheme="minorEastAsia" w:cstheme="minorEastAsia"/>
          <w:bCs/>
          <w:szCs w:val="21"/>
        </w:rPr>
        <w:t>（4）保险人承担</w:t>
      </w:r>
      <w:r>
        <w:rPr>
          <w:rFonts w:hint="eastAsia" w:asciiTheme="minorEastAsia" w:hAnsiTheme="minorEastAsia" w:cstheme="minorEastAsia"/>
          <w:szCs w:val="21"/>
        </w:rPr>
        <w:t>保险期间发生的并延续至本附加合同到期日后30日内（含第30日）</w:t>
      </w:r>
      <w:r>
        <w:rPr>
          <w:rFonts w:hint="eastAsia" w:asciiTheme="minorEastAsia" w:hAnsiTheme="minorEastAsia" w:cstheme="minorEastAsia"/>
          <w:bCs/>
          <w:szCs w:val="21"/>
        </w:rPr>
        <w:t xml:space="preserve">发生的进口药品费用。  </w:t>
      </w:r>
    </w:p>
    <w:p>
      <w:pPr>
        <w:adjustRightInd w:val="0"/>
        <w:snapToGrid w:val="0"/>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进口药品是指特定医疗机构因临床急需，经国务院药品监督管理部门或者国务院授权的省、自治区、直辖市人民政府批准后，进口的少量药品。</w:t>
      </w:r>
      <w:r>
        <w:rPr>
          <w:rFonts w:hint="eastAsia" w:asciiTheme="minorEastAsia" w:hAnsiTheme="minorEastAsia" w:cstheme="minorEastAsia"/>
          <w:b/>
          <w:bCs/>
          <w:szCs w:val="21"/>
        </w:rPr>
        <w:t>在“进口药品购药服务流程”中，如果特定医疗机构提出的进口药品申请未获批准的，保险人不承担给付进口药品费用保险金的责任。</w:t>
      </w:r>
    </w:p>
    <w:p>
      <w:pPr>
        <w:autoSpaceDE w:val="0"/>
        <w:autoSpaceDN w:val="0"/>
        <w:spacing w:after="160" w:line="360" w:lineRule="auto"/>
        <w:ind w:firstLine="422" w:firstLineChars="200"/>
        <w:jc w:val="left"/>
        <w:rPr>
          <w:rFonts w:ascii="宋体" w:hAnsi="宋体" w:eastAsia="宋体" w:cs="宋体"/>
          <w:bCs/>
          <w:szCs w:val="21"/>
        </w:rPr>
      </w:pPr>
      <w:r>
        <w:rPr>
          <w:rFonts w:hint="eastAsia" w:asciiTheme="minorEastAsia" w:hAnsiTheme="minorEastAsia" w:cstheme="minorEastAsia"/>
          <w:b/>
          <w:bCs/>
          <w:szCs w:val="21"/>
        </w:rPr>
        <w:t>除上述两项特定药品费用之外的其他费用，保险人不承担给付保险金的责任。</w:t>
      </w:r>
    </w:p>
    <w:p>
      <w:pPr>
        <w:widowControl/>
        <w:autoSpaceDE w:val="0"/>
        <w:autoSpaceDN w:val="0"/>
        <w:spacing w:line="360" w:lineRule="auto"/>
        <w:ind w:firstLine="422" w:firstLineChars="200"/>
        <w:jc w:val="left"/>
        <w:rPr>
          <w:rFonts w:ascii="宋体" w:hAnsi="宋体" w:eastAsia="宋体" w:cs="宋体"/>
          <w:b/>
          <w:bCs/>
          <w:szCs w:val="21"/>
        </w:rPr>
      </w:pPr>
      <w:bookmarkStart w:id="1" w:name="_Hlk31888858"/>
      <w:r>
        <w:rPr>
          <w:rFonts w:hint="eastAsia" w:ascii="宋体" w:hAnsi="宋体" w:eastAsia="宋体" w:cs="宋体"/>
          <w:b/>
          <w:bCs/>
          <w:szCs w:val="21"/>
        </w:rPr>
        <w:t>被保险人在投保前已确诊恶性肿瘤的，保险人不承担给付恶性肿瘤特定药品费用保险金的责任。特定药品涉及慈善援助的，被保险人从慈善机构获得援助的药品费用不纳入指定药店购买特定药品费用保险金的赔付范围。</w:t>
      </w:r>
    </w:p>
    <w:p>
      <w:pPr>
        <w:widowControl/>
        <w:autoSpaceDE w:val="0"/>
        <w:autoSpaceDN w:val="0"/>
        <w:spacing w:line="360" w:lineRule="auto"/>
        <w:ind w:firstLine="422" w:firstLineChars="200"/>
        <w:jc w:val="left"/>
        <w:rPr>
          <w:rFonts w:ascii="宋体" w:hAnsi="宋体" w:eastAsia="宋体" w:cs="宋体"/>
          <w:b/>
          <w:bCs/>
          <w:szCs w:val="21"/>
        </w:rPr>
      </w:pPr>
      <w:r>
        <w:rPr>
          <w:rFonts w:hint="eastAsia" w:ascii="宋体" w:hAnsi="宋体" w:eastAsia="宋体" w:cs="宋体"/>
          <w:b/>
          <w:bCs/>
          <w:szCs w:val="21"/>
        </w:rPr>
        <w:t>本附加合同的给付比例由投保人和保险人按照以下情况分别约定，并在保险单中载明：</w:t>
      </w:r>
    </w:p>
    <w:p>
      <w:pPr>
        <w:widowControl/>
        <w:autoSpaceDE w:val="0"/>
        <w:autoSpaceDN w:val="0"/>
        <w:spacing w:line="360" w:lineRule="auto"/>
        <w:ind w:firstLine="422" w:firstLineChars="200"/>
        <w:jc w:val="left"/>
        <w:rPr>
          <w:rFonts w:ascii="宋体" w:hAnsi="宋体" w:eastAsia="宋体" w:cs="宋体"/>
          <w:b/>
          <w:bCs/>
          <w:szCs w:val="21"/>
        </w:rPr>
      </w:pPr>
      <w:r>
        <w:rPr>
          <w:rFonts w:hint="eastAsia" w:ascii="宋体" w:hAnsi="宋体" w:eastAsia="宋体" w:cs="宋体"/>
          <w:b/>
          <w:bCs/>
          <w:szCs w:val="21"/>
        </w:rPr>
        <w:t>（1）若被保险人以参加基本医疗保险身份投保：</w:t>
      </w:r>
    </w:p>
    <w:p>
      <w:pPr>
        <w:widowControl/>
        <w:autoSpaceDE w:val="0"/>
        <w:autoSpaceDN w:val="0"/>
        <w:spacing w:line="360" w:lineRule="auto"/>
        <w:ind w:firstLine="422" w:firstLineChars="200"/>
        <w:jc w:val="left"/>
        <w:rPr>
          <w:rFonts w:ascii="宋体" w:hAnsi="宋体" w:eastAsia="宋体" w:cs="宋体"/>
          <w:b/>
          <w:bCs/>
          <w:szCs w:val="21"/>
        </w:rPr>
      </w:pPr>
      <w:r>
        <w:rPr>
          <w:rFonts w:hint="eastAsia" w:ascii="宋体" w:hAnsi="宋体" w:eastAsia="宋体" w:cs="宋体"/>
          <w:b/>
          <w:bCs/>
          <w:szCs w:val="21"/>
        </w:rPr>
        <w:t>a.如药品为基本医疗保险药品目录内且已经过基本医疗保险报销，给付比例为100%；</w:t>
      </w:r>
    </w:p>
    <w:p>
      <w:pPr>
        <w:widowControl/>
        <w:autoSpaceDE w:val="0"/>
        <w:autoSpaceDN w:val="0"/>
        <w:spacing w:line="360" w:lineRule="auto"/>
        <w:ind w:firstLine="422" w:firstLineChars="200"/>
        <w:jc w:val="left"/>
        <w:rPr>
          <w:rFonts w:ascii="宋体" w:hAnsi="宋体" w:eastAsia="宋体" w:cs="宋体"/>
          <w:b/>
          <w:bCs/>
          <w:szCs w:val="21"/>
        </w:rPr>
      </w:pPr>
      <w:r>
        <w:rPr>
          <w:rFonts w:hint="eastAsia" w:ascii="宋体" w:hAnsi="宋体" w:eastAsia="宋体" w:cs="宋体"/>
          <w:b/>
          <w:bCs/>
          <w:szCs w:val="21"/>
        </w:rPr>
        <w:t>b.如药品为基本医疗保险药品目录内但未经过基本医疗保险报销，给付比例为60%；</w:t>
      </w:r>
    </w:p>
    <w:p>
      <w:pPr>
        <w:widowControl/>
        <w:autoSpaceDE w:val="0"/>
        <w:autoSpaceDN w:val="0"/>
        <w:spacing w:line="360" w:lineRule="auto"/>
        <w:ind w:firstLine="422" w:firstLineChars="200"/>
        <w:jc w:val="left"/>
        <w:rPr>
          <w:rFonts w:ascii="宋体" w:hAnsi="宋体" w:eastAsia="宋体" w:cs="宋体"/>
          <w:b/>
          <w:bCs/>
          <w:szCs w:val="21"/>
        </w:rPr>
      </w:pPr>
      <w:r>
        <w:rPr>
          <w:rFonts w:hint="eastAsia" w:ascii="宋体" w:hAnsi="宋体" w:eastAsia="宋体" w:cs="宋体"/>
          <w:b/>
          <w:bCs/>
          <w:szCs w:val="21"/>
        </w:rPr>
        <w:t>c.如药品为基本医疗保险药品目录外，给付比例为100%。</w:t>
      </w:r>
    </w:p>
    <w:p>
      <w:pPr>
        <w:widowControl/>
        <w:autoSpaceDE w:val="0"/>
        <w:autoSpaceDN w:val="0"/>
        <w:spacing w:line="360" w:lineRule="auto"/>
        <w:ind w:firstLine="422" w:firstLineChars="200"/>
        <w:jc w:val="left"/>
        <w:rPr>
          <w:rFonts w:ascii="宋体" w:hAnsi="宋体" w:eastAsia="宋体" w:cs="宋体"/>
          <w:b/>
          <w:bCs/>
          <w:szCs w:val="21"/>
        </w:rPr>
      </w:pPr>
      <w:r>
        <w:rPr>
          <w:rFonts w:hint="eastAsia" w:ascii="宋体" w:hAnsi="宋体" w:eastAsia="宋体" w:cs="宋体"/>
          <w:b/>
          <w:bCs/>
          <w:szCs w:val="21"/>
        </w:rPr>
        <w:t>（2）若被保险人未以参加基本医疗保险身份投保，则基本医疗保险药品目录内药品和基本医疗保险药品目录外药品给付比例均为100%。</w:t>
      </w:r>
    </w:p>
    <w:p>
      <w:pPr>
        <w:pStyle w:val="3"/>
        <w:adjustRightInd w:val="0"/>
        <w:snapToGrid w:val="0"/>
        <w:spacing w:line="360" w:lineRule="auto"/>
        <w:ind w:firstLine="422" w:firstLineChars="200"/>
        <w:rPr>
          <w:rFonts w:cs="宋体" w:asciiTheme="minorEastAsia" w:hAnsiTheme="minorEastAsia"/>
          <w:b/>
          <w:bCs/>
          <w:szCs w:val="21"/>
        </w:rPr>
      </w:pPr>
      <w:r>
        <w:rPr>
          <w:rFonts w:hint="eastAsia" w:cs="宋体" w:asciiTheme="minorEastAsia" w:hAnsiTheme="minorEastAsia"/>
          <w:b/>
          <w:bCs/>
          <w:szCs w:val="21"/>
        </w:rPr>
        <w:t>（</w:t>
      </w:r>
      <w:r>
        <w:rPr>
          <w:rFonts w:cs="宋体" w:asciiTheme="minorEastAsia" w:hAnsiTheme="minorEastAsia"/>
          <w:b/>
          <w:bCs/>
          <w:szCs w:val="21"/>
        </w:rPr>
        <w:t>3）</w:t>
      </w:r>
      <w:r>
        <w:rPr>
          <w:rFonts w:hint="eastAsia" w:asciiTheme="minorEastAsia" w:hAnsiTheme="minorEastAsia" w:cstheme="minorEastAsia"/>
          <w:b/>
          <w:szCs w:val="21"/>
        </w:rPr>
        <w:t>海南博鳌乐城国际医疗旅游先行区</w:t>
      </w:r>
      <w:r>
        <w:rPr>
          <w:rFonts w:hint="eastAsia" w:cs="宋体" w:asciiTheme="minorEastAsia" w:hAnsiTheme="minorEastAsia"/>
          <w:b/>
          <w:bCs/>
          <w:szCs w:val="21"/>
        </w:rPr>
        <w:t>临床急需进口药品费用保险金计算方法：</w:t>
      </w:r>
    </w:p>
    <w:p>
      <w:pPr>
        <w:pStyle w:val="3"/>
        <w:adjustRightInd w:val="0"/>
        <w:snapToGrid w:val="0"/>
        <w:spacing w:line="360" w:lineRule="auto"/>
        <w:ind w:firstLine="422" w:firstLineChars="200"/>
        <w:rPr>
          <w:rFonts w:cs="宋体" w:asciiTheme="minorEastAsia" w:hAnsiTheme="minorEastAsia"/>
          <w:b/>
        </w:rPr>
      </w:pPr>
      <w:r>
        <w:rPr>
          <w:rFonts w:hint="eastAsia" w:cs="宋体" w:asciiTheme="minorEastAsia" w:hAnsiTheme="minorEastAsia"/>
          <w:b/>
          <w:szCs w:val="21"/>
        </w:rPr>
        <w:t>海南博鳌乐城国际医疗旅游先行区临床急需进口药品费</w:t>
      </w:r>
      <w:r>
        <w:rPr>
          <w:rFonts w:hint="eastAsia" w:cs="宋体" w:asciiTheme="minorEastAsia" w:hAnsiTheme="minorEastAsia"/>
          <w:b/>
          <w:bCs/>
          <w:szCs w:val="21"/>
        </w:rPr>
        <w:t>用</w:t>
      </w:r>
      <w:r>
        <w:rPr>
          <w:rFonts w:hint="eastAsia" w:cs="宋体" w:asciiTheme="minorEastAsia" w:hAnsiTheme="minorEastAsia"/>
          <w:b/>
          <w:szCs w:val="21"/>
        </w:rPr>
        <w:t>保险金</w:t>
      </w:r>
      <w:r>
        <w:rPr>
          <w:rFonts w:cs="宋体" w:asciiTheme="minorEastAsia" w:hAnsiTheme="minorEastAsia"/>
          <w:b/>
          <w:szCs w:val="21"/>
        </w:rPr>
        <w:t>=（发生的进口药品费用-从其他途径已获得的进口药品费用补偿）×80%。</w:t>
      </w:r>
      <w:bookmarkEnd w:id="1"/>
    </w:p>
    <w:p>
      <w:pPr>
        <w:spacing w:line="360" w:lineRule="auto"/>
        <w:jc w:val="left"/>
        <w:rPr>
          <w:rFonts w:ascii="宋体" w:hAnsi="宋体" w:eastAsia="宋体" w:cs="宋体"/>
          <w:b/>
          <w:szCs w:val="21"/>
        </w:rPr>
      </w:pPr>
    </w:p>
    <w:p>
      <w:pPr>
        <w:spacing w:line="360" w:lineRule="auto"/>
        <w:jc w:val="center"/>
        <w:rPr>
          <w:rFonts w:ascii="宋体" w:hAnsi="宋体" w:eastAsia="宋体" w:cs="宋体"/>
          <w:b/>
          <w:szCs w:val="21"/>
        </w:rPr>
      </w:pPr>
      <w:r>
        <w:rPr>
          <w:rFonts w:hint="eastAsia" w:ascii="宋体" w:hAnsi="宋体" w:eastAsia="宋体" w:cs="宋体"/>
          <w:b/>
          <w:szCs w:val="21"/>
        </w:rPr>
        <w:t>保险金额</w:t>
      </w:r>
    </w:p>
    <w:p>
      <w:pPr>
        <w:spacing w:line="360" w:lineRule="auto"/>
        <w:ind w:firstLine="422" w:firstLineChars="200"/>
        <w:jc w:val="left"/>
        <w:rPr>
          <w:rFonts w:ascii="宋体" w:hAnsi="宋体" w:eastAsia="宋体" w:cs="宋体"/>
          <w:szCs w:val="21"/>
        </w:rPr>
      </w:pPr>
      <w:r>
        <w:rPr>
          <w:rFonts w:hint="eastAsia" w:ascii="宋体" w:hAnsi="宋体" w:eastAsia="宋体" w:cs="宋体"/>
          <w:b/>
          <w:bCs/>
          <w:szCs w:val="21"/>
        </w:rPr>
        <w:t>第三条</w:t>
      </w:r>
      <w:r>
        <w:rPr>
          <w:rFonts w:hint="eastAsia" w:ascii="宋体" w:hAnsi="宋体" w:eastAsia="宋体" w:cs="宋体"/>
          <w:szCs w:val="21"/>
        </w:rPr>
        <w:t xml:space="preserve"> </w:t>
      </w:r>
      <w:r>
        <w:rPr>
          <w:rFonts w:hint="eastAsia" w:ascii="宋体" w:hAnsi="宋体" w:eastAsia="宋体" w:cs="宋体"/>
          <w:b/>
          <w:bCs/>
          <w:szCs w:val="21"/>
        </w:rPr>
        <w:t>保险金额是保险人承担赔偿或者给付保险金责任的最高限额。</w:t>
      </w:r>
      <w:r>
        <w:rPr>
          <w:rFonts w:hint="eastAsia" w:ascii="宋体" w:hAnsi="宋体" w:eastAsia="宋体" w:cs="宋体"/>
          <w:szCs w:val="21"/>
        </w:rPr>
        <w:t>本附加合同的保险金额由投保人与保险人协商确定，并在保险单中载明。</w:t>
      </w:r>
    </w:p>
    <w:p>
      <w:pPr>
        <w:spacing w:line="360" w:lineRule="auto"/>
        <w:ind w:firstLine="420" w:firstLineChars="200"/>
        <w:jc w:val="left"/>
        <w:rPr>
          <w:rFonts w:ascii="宋体" w:hAnsi="宋体" w:eastAsia="宋体" w:cs="宋体"/>
          <w:szCs w:val="21"/>
        </w:rPr>
      </w:pPr>
    </w:p>
    <w:p>
      <w:pPr>
        <w:adjustRightInd w:val="0"/>
        <w:snapToGrid w:val="0"/>
        <w:spacing w:after="156"/>
        <w:jc w:val="center"/>
        <w:rPr>
          <w:rFonts w:ascii="宋体" w:hAnsi="宋体" w:eastAsia="宋体" w:cs="宋体"/>
          <w:b/>
          <w:szCs w:val="21"/>
        </w:rPr>
      </w:pPr>
      <w:r>
        <w:rPr>
          <w:rFonts w:hint="eastAsia" w:ascii="宋体" w:hAnsi="宋体" w:eastAsia="宋体" w:cs="宋体"/>
          <w:b/>
          <w:szCs w:val="21"/>
          <w:lang w:bidi="ar"/>
        </w:rPr>
        <w:t>缴费方式</w:t>
      </w:r>
    </w:p>
    <w:p>
      <w:pPr>
        <w:numPr>
          <w:ilvl w:val="255"/>
          <w:numId w:val="0"/>
        </w:numPr>
        <w:adjustRightInd w:val="0"/>
        <w:snapToGrid w:val="0"/>
        <w:spacing w:line="360" w:lineRule="auto"/>
        <w:ind w:firstLine="422" w:firstLineChars="200"/>
        <w:rPr>
          <w:rFonts w:ascii="宋体" w:hAnsi="宋体" w:eastAsia="宋体" w:cs="宋体"/>
          <w:kern w:val="0"/>
          <w:szCs w:val="21"/>
        </w:rPr>
      </w:pPr>
      <w:r>
        <w:rPr>
          <w:rFonts w:hint="eastAsia" w:ascii="宋体" w:hAnsi="宋体" w:eastAsia="宋体" w:cs="宋体"/>
          <w:b/>
          <w:kern w:val="0"/>
          <w:szCs w:val="21"/>
        </w:rPr>
        <w:t>第四条</w:t>
      </w:r>
      <w:r>
        <w:rPr>
          <w:rFonts w:hint="eastAsia" w:ascii="宋体" w:hAnsi="宋体" w:eastAsia="宋体" w:cs="宋体"/>
          <w:kern w:val="0"/>
          <w:szCs w:val="21"/>
        </w:rPr>
        <w:t xml:space="preserve"> 本附加险合同保险费缴付方式由投保人和保险人在投保时约定，并在保险单中载明。</w:t>
      </w:r>
    </w:p>
    <w:p>
      <w:pPr>
        <w:numPr>
          <w:ilvl w:val="255"/>
          <w:numId w:val="0"/>
        </w:numPr>
        <w:adjustRightInd w:val="0"/>
        <w:snapToGrid w:val="0"/>
        <w:spacing w:line="360" w:lineRule="auto"/>
        <w:ind w:firstLine="420" w:firstLineChars="200"/>
        <w:rPr>
          <w:rFonts w:ascii="宋体" w:hAnsi="宋体" w:eastAsia="宋体" w:cs="宋体"/>
          <w:b/>
          <w:kern w:val="0"/>
          <w:szCs w:val="21"/>
        </w:rPr>
      </w:pPr>
      <w:r>
        <w:rPr>
          <w:rFonts w:hint="eastAsia" w:ascii="宋体" w:hAnsi="宋体" w:eastAsia="宋体" w:cs="宋体"/>
          <w:kern w:val="0"/>
          <w:szCs w:val="21"/>
        </w:rPr>
        <w:t>若投保人选择一次性缴付保险费，投保人应当在本附加险合同成立时一次性缴清保险费。</w:t>
      </w:r>
      <w:r>
        <w:rPr>
          <w:rFonts w:hint="eastAsia" w:ascii="宋体" w:hAnsi="宋体" w:eastAsia="宋体" w:cs="宋体"/>
          <w:b/>
          <w:kern w:val="0"/>
          <w:szCs w:val="21"/>
        </w:rPr>
        <w:t>保险费缴清前，本附加险合同不生效。对本附加险合同生效前发生的保险事故，保险人不承担保险责任。</w:t>
      </w:r>
    </w:p>
    <w:p>
      <w:pPr>
        <w:adjustRightInd w:val="0"/>
        <w:snapToGrid w:val="0"/>
        <w:spacing w:after="160" w:line="360" w:lineRule="auto"/>
        <w:ind w:firstLine="422" w:firstLineChars="200"/>
        <w:rPr>
          <w:rFonts w:ascii="宋体" w:hAnsi="宋体" w:eastAsia="宋体" w:cs="宋体"/>
          <w:b/>
          <w:bCs/>
          <w:szCs w:val="21"/>
        </w:rPr>
      </w:pPr>
      <w:r>
        <w:rPr>
          <w:rFonts w:hint="eastAsia" w:ascii="宋体" w:hAnsi="宋体" w:eastAsia="宋体" w:cs="宋体"/>
          <w:b/>
          <w:bCs/>
          <w:szCs w:val="21"/>
        </w:rPr>
        <w:t>若投保人选择分期缴付保险费，在缴付首月保险费后，投保人应当在每个保险费约定支付日缴付其余各月对应</w:t>
      </w:r>
      <w:r>
        <w:rPr>
          <w:rFonts w:hint="eastAsia" w:asciiTheme="minorEastAsia" w:hAnsiTheme="minorEastAsia" w:cstheme="minorEastAsia"/>
          <w:b/>
          <w:bCs/>
          <w:szCs w:val="21"/>
        </w:rPr>
        <w:t>的保费。</w:t>
      </w:r>
      <w:r>
        <w:rPr>
          <w:rFonts w:hint="eastAsia" w:asciiTheme="minorEastAsia" w:hAnsiTheme="minorEastAsia" w:cstheme="minorEastAsia"/>
          <w:b/>
          <w:bCs/>
          <w:kern w:val="0"/>
          <w:szCs w:val="21"/>
        </w:rPr>
        <w:t>如</w:t>
      </w:r>
      <w:r>
        <w:rPr>
          <w:rFonts w:hint="eastAsia" w:ascii="宋体" w:hAnsi="宋体" w:eastAsia="宋体" w:cs="宋体"/>
          <w:b/>
          <w:bCs/>
          <w:szCs w:val="21"/>
        </w:rPr>
        <w:t>投保人未按照本附加险合同约定的付款时间足额缴付当期保费，保险人允许投保人在保险合同约定的宽限期内补缴对应</w:t>
      </w:r>
      <w:r>
        <w:rPr>
          <w:rFonts w:hint="eastAsia" w:asciiTheme="minorEastAsia" w:hAnsiTheme="minorEastAsia" w:cstheme="minorEastAsia"/>
          <w:b/>
          <w:bCs/>
          <w:kern w:val="0"/>
          <w:szCs w:val="21"/>
        </w:rPr>
        <w:t>月份的保费，如</w:t>
      </w:r>
      <w:r>
        <w:rPr>
          <w:rFonts w:hint="eastAsia" w:ascii="宋体" w:hAnsi="宋体" w:eastAsia="宋体" w:cs="宋体"/>
          <w:b/>
          <w:bCs/>
          <w:szCs w:val="21"/>
        </w:rPr>
        <w:t>被保险人在宽限期内发生保险事故，保险人仍按照保险合同约定赔偿保险金。除本附加险合同另有约定外，如被保险人在正常缴费对应的保险期间内或宽限期内发生保险事故，保险人依照本附加险合同约定赔付保险金的，需扣减保险期间所有未缴期间的保险费，投保人已缴纳的保险费与保险人扣减的保险费之和应等于本附加险合同约定的保险费总额。</w:t>
      </w:r>
    </w:p>
    <w:p>
      <w:pPr>
        <w:adjustRightInd w:val="0"/>
        <w:snapToGrid w:val="0"/>
        <w:spacing w:after="160" w:line="360" w:lineRule="auto"/>
        <w:ind w:firstLine="422" w:firstLineChars="200"/>
        <w:rPr>
          <w:rFonts w:ascii="宋体" w:hAnsi="宋体" w:eastAsia="宋体" w:cs="宋体"/>
          <w:b/>
          <w:bCs/>
          <w:szCs w:val="21"/>
        </w:rPr>
      </w:pPr>
      <w:r>
        <w:rPr>
          <w:rFonts w:hint="eastAsia" w:asciiTheme="minorEastAsia" w:hAnsiTheme="minorEastAsia" w:cstheme="minorEastAsia"/>
          <w:b/>
          <w:bCs/>
          <w:kern w:val="0"/>
          <w:szCs w:val="21"/>
        </w:rPr>
        <w:t>如</w:t>
      </w:r>
      <w:r>
        <w:rPr>
          <w:rFonts w:hint="eastAsia" w:ascii="宋体" w:hAnsi="宋体" w:eastAsia="宋体" w:cs="宋体"/>
          <w:b/>
          <w:bCs/>
          <w:szCs w:val="21"/>
        </w:rPr>
        <w:t>投保人未按照本附加险合同约定的付款时间足额缴付当期保费，且在本附加险合同约定的宽限期内仍未足额补缴当期保费的，</w:t>
      </w:r>
      <w:r>
        <w:rPr>
          <w:rFonts w:hint="eastAsia" w:ascii="Times New Roman" w:hAnsi="Times New Roman" w:eastAsia="宋体" w:cs="Times New Roman"/>
          <w:b/>
          <w:bCs/>
          <w:szCs w:val="21"/>
        </w:rPr>
        <w:t>本附加险合同效力中止，</w:t>
      </w:r>
      <w:r>
        <w:rPr>
          <w:rFonts w:hint="eastAsia" w:ascii="Times New Roman" w:hAnsi="Times New Roman" w:eastAsia="宋体" w:cs="Times New Roman"/>
          <w:b/>
          <w:szCs w:val="21"/>
        </w:rPr>
        <w:t>保险人对合同效力中止后发生的保险事故不承担给付保险金责任</w:t>
      </w:r>
      <w:r>
        <w:rPr>
          <w:rFonts w:hint="eastAsia" w:ascii="宋体" w:hAnsi="宋体" w:eastAsia="宋体" w:cs="宋体"/>
          <w:b/>
          <w:bCs/>
          <w:szCs w:val="21"/>
        </w:rPr>
        <w:t>。</w:t>
      </w:r>
    </w:p>
    <w:p>
      <w:pPr>
        <w:spacing w:line="360" w:lineRule="auto"/>
        <w:ind w:firstLine="420" w:firstLineChars="200"/>
        <w:jc w:val="left"/>
        <w:rPr>
          <w:rFonts w:ascii="宋体" w:hAnsi="宋体" w:eastAsia="宋体" w:cs="宋体"/>
          <w:szCs w:val="21"/>
        </w:rPr>
      </w:pPr>
      <w:r>
        <w:rPr>
          <w:rFonts w:hint="eastAsia" w:ascii="宋体" w:hAnsi="宋体" w:eastAsia="宋体" w:cs="宋体"/>
          <w:kern w:val="0"/>
          <w:szCs w:val="21"/>
        </w:rPr>
        <w:t>宽限期由投保人与保险人</w:t>
      </w:r>
      <w:r>
        <w:rPr>
          <w:rFonts w:hint="eastAsia" w:asciiTheme="minorEastAsia" w:hAnsiTheme="minorEastAsia" w:cstheme="minorEastAsia"/>
          <w:kern w:val="0"/>
          <w:szCs w:val="21"/>
        </w:rPr>
        <w:t>约定，并在本附加险合同</w:t>
      </w:r>
      <w:r>
        <w:rPr>
          <w:rFonts w:hint="eastAsia" w:ascii="宋体" w:hAnsi="宋体" w:eastAsia="宋体" w:cs="宋体"/>
          <w:kern w:val="0"/>
          <w:szCs w:val="21"/>
        </w:rPr>
        <w:t>中载明。</w:t>
      </w:r>
    </w:p>
    <w:p>
      <w:pPr>
        <w:spacing w:line="360" w:lineRule="auto"/>
        <w:ind w:firstLine="420" w:firstLineChars="200"/>
        <w:jc w:val="left"/>
        <w:rPr>
          <w:rFonts w:ascii="宋体" w:hAnsi="宋体" w:eastAsia="宋体" w:cs="宋体"/>
          <w:szCs w:val="21"/>
        </w:rPr>
      </w:pPr>
    </w:p>
    <w:p>
      <w:pPr>
        <w:spacing w:line="360" w:lineRule="auto"/>
        <w:jc w:val="center"/>
        <w:rPr>
          <w:rFonts w:ascii="宋体" w:hAnsi="宋体" w:eastAsia="宋体" w:cs="宋体"/>
          <w:b/>
          <w:szCs w:val="21"/>
        </w:rPr>
      </w:pPr>
      <w:r>
        <w:rPr>
          <w:rFonts w:hint="eastAsia" w:ascii="宋体" w:hAnsi="宋体" w:eastAsia="宋体" w:cs="宋体"/>
          <w:b/>
          <w:szCs w:val="21"/>
        </w:rPr>
        <w:t>保险期间</w:t>
      </w:r>
    </w:p>
    <w:p>
      <w:pPr>
        <w:spacing w:line="360" w:lineRule="auto"/>
        <w:ind w:firstLine="422" w:firstLineChars="200"/>
        <w:jc w:val="left"/>
        <w:rPr>
          <w:rFonts w:ascii="宋体" w:hAnsi="宋体" w:eastAsia="宋体" w:cs="宋体"/>
          <w:szCs w:val="21"/>
        </w:rPr>
      </w:pPr>
      <w:r>
        <w:rPr>
          <w:rFonts w:hint="eastAsia" w:ascii="宋体" w:hAnsi="宋体" w:eastAsia="宋体" w:cs="宋体"/>
          <w:b/>
          <w:bCs/>
          <w:szCs w:val="21"/>
        </w:rPr>
        <w:t xml:space="preserve">第五条 </w:t>
      </w:r>
      <w:r>
        <w:rPr>
          <w:rFonts w:hint="eastAsia" w:ascii="宋体" w:hAnsi="宋体" w:eastAsia="宋体" w:cs="宋体"/>
          <w:szCs w:val="21"/>
        </w:rPr>
        <w:t>本附加合同的保险期间与主险合同一致，最长不超过一年。</w:t>
      </w:r>
    </w:p>
    <w:p>
      <w:pPr>
        <w:spacing w:line="360" w:lineRule="auto"/>
        <w:ind w:firstLine="420" w:firstLineChars="200"/>
        <w:jc w:val="left"/>
        <w:rPr>
          <w:rFonts w:ascii="宋体" w:hAnsi="宋体" w:eastAsia="宋体" w:cs="宋体"/>
          <w:szCs w:val="21"/>
        </w:rPr>
      </w:pPr>
      <w:r>
        <w:rPr>
          <w:rFonts w:hint="eastAsia" w:ascii="宋体" w:hAnsi="宋体" w:eastAsia="宋体" w:cs="宋体"/>
          <w:szCs w:val="21"/>
        </w:rPr>
        <w:t>本附加合同为不保证续保合同，保险期间不超过一年。保险期间届满，投保人需要重新向保险公司申请投保本附加合同，并经保险人同意，交纳保险费，获得新的附加合同。</w:t>
      </w:r>
    </w:p>
    <w:p>
      <w:pPr>
        <w:spacing w:line="360" w:lineRule="auto"/>
        <w:jc w:val="center"/>
        <w:rPr>
          <w:rFonts w:ascii="宋体" w:hAnsi="宋体" w:eastAsia="宋体" w:cs="宋体"/>
          <w:b/>
          <w:szCs w:val="21"/>
        </w:rPr>
      </w:pPr>
    </w:p>
    <w:p>
      <w:pPr>
        <w:spacing w:line="360" w:lineRule="auto"/>
        <w:jc w:val="center"/>
        <w:rPr>
          <w:rFonts w:ascii="宋体" w:hAnsi="宋体" w:eastAsia="宋体" w:cs="宋体"/>
          <w:b/>
          <w:szCs w:val="21"/>
        </w:rPr>
      </w:pPr>
      <w:r>
        <w:rPr>
          <w:rFonts w:hint="eastAsia" w:ascii="宋体" w:hAnsi="宋体" w:eastAsia="宋体" w:cs="宋体"/>
          <w:b/>
          <w:szCs w:val="21"/>
        </w:rPr>
        <w:t>责任免除</w:t>
      </w:r>
    </w:p>
    <w:p>
      <w:pPr>
        <w:widowControl/>
        <w:autoSpaceDE w:val="0"/>
        <w:autoSpaceDN w:val="0"/>
        <w:spacing w:line="360" w:lineRule="auto"/>
        <w:ind w:firstLine="422" w:firstLineChars="200"/>
        <w:jc w:val="left"/>
        <w:rPr>
          <w:rFonts w:ascii="宋体" w:hAnsi="宋体" w:eastAsia="宋体" w:cs="宋体"/>
          <w:b/>
          <w:bCs/>
          <w:kern w:val="0"/>
          <w:szCs w:val="21"/>
        </w:rPr>
      </w:pPr>
      <w:r>
        <w:rPr>
          <w:rFonts w:hint="eastAsia" w:ascii="宋体" w:hAnsi="宋体" w:eastAsia="宋体" w:cs="宋体"/>
          <w:b/>
          <w:bCs/>
          <w:kern w:val="0"/>
          <w:szCs w:val="21"/>
          <w:lang w:bidi="ar"/>
        </w:rPr>
        <w:t>第六条</w:t>
      </w:r>
      <w:r>
        <w:rPr>
          <w:rFonts w:hint="eastAsia" w:ascii="宋体" w:hAnsi="宋体" w:eastAsia="宋体" w:cs="宋体"/>
          <w:kern w:val="0"/>
          <w:szCs w:val="21"/>
          <w:lang w:bidi="ar"/>
        </w:rPr>
        <w:t xml:space="preserve"> </w:t>
      </w:r>
      <w:r>
        <w:rPr>
          <w:rFonts w:hint="eastAsia" w:ascii="宋体" w:hAnsi="宋体" w:eastAsia="宋体" w:cs="宋体"/>
          <w:b/>
          <w:szCs w:val="21"/>
        </w:rPr>
        <w:t>主险合同列明的责任免除条款适用于本附加合同。</w:t>
      </w:r>
      <w:r>
        <w:rPr>
          <w:rFonts w:hint="eastAsia" w:ascii="宋体" w:hAnsi="宋体" w:eastAsia="宋体" w:cs="宋体"/>
          <w:b/>
          <w:bCs/>
          <w:kern w:val="0"/>
          <w:szCs w:val="21"/>
        </w:rPr>
        <w:t xml:space="preserve">同时，任何在下列期间发生的或因下列情形之一导致被保险人发生恶性肿瘤特定药品费用的，保险人不承担给付保险金的责任： </w:t>
      </w:r>
    </w:p>
    <w:p>
      <w:pPr>
        <w:widowControl/>
        <w:autoSpaceDE w:val="0"/>
        <w:autoSpaceDN w:val="0"/>
        <w:spacing w:line="360" w:lineRule="auto"/>
        <w:ind w:firstLine="422" w:firstLineChars="200"/>
        <w:jc w:val="left"/>
        <w:rPr>
          <w:rFonts w:ascii="宋体" w:hAnsi="宋体" w:eastAsia="宋体" w:cs="宋体"/>
          <w:b/>
          <w:bCs/>
          <w:kern w:val="0"/>
          <w:szCs w:val="21"/>
        </w:rPr>
      </w:pPr>
      <w:r>
        <w:rPr>
          <w:rFonts w:hint="eastAsia" w:ascii="宋体" w:hAnsi="宋体" w:eastAsia="宋体" w:cs="宋体"/>
          <w:b/>
          <w:bCs/>
          <w:kern w:val="0"/>
          <w:szCs w:val="21"/>
        </w:rPr>
        <w:t>1.仅有临床不适症状，入院诊断和出院诊断均不是恶性肿瘤的治疗；</w:t>
      </w:r>
    </w:p>
    <w:p>
      <w:pPr>
        <w:widowControl/>
        <w:autoSpaceDE w:val="0"/>
        <w:autoSpaceDN w:val="0"/>
        <w:spacing w:line="360" w:lineRule="auto"/>
        <w:ind w:firstLine="422" w:firstLineChars="200"/>
        <w:jc w:val="left"/>
        <w:rPr>
          <w:rFonts w:ascii="宋体" w:hAnsi="宋体" w:eastAsia="宋体" w:cs="宋体"/>
          <w:b/>
          <w:bCs/>
          <w:kern w:val="0"/>
          <w:szCs w:val="21"/>
        </w:rPr>
      </w:pPr>
      <w:r>
        <w:rPr>
          <w:rFonts w:hint="eastAsia" w:ascii="宋体" w:hAnsi="宋体" w:eastAsia="宋体" w:cs="宋体"/>
          <w:b/>
          <w:bCs/>
          <w:kern w:val="0"/>
          <w:szCs w:val="21"/>
        </w:rPr>
        <w:t>2.进行未经科学或者医学认可的试验性或者研究性治疗及前述治疗产生的后果所产生的费用；</w:t>
      </w:r>
    </w:p>
    <w:p>
      <w:pPr>
        <w:widowControl/>
        <w:autoSpaceDE w:val="0"/>
        <w:autoSpaceDN w:val="0"/>
        <w:spacing w:line="360" w:lineRule="auto"/>
        <w:ind w:left="420" w:leftChars="200"/>
        <w:jc w:val="left"/>
        <w:rPr>
          <w:rFonts w:ascii="宋体" w:hAnsi="宋体" w:eastAsia="宋体" w:cs="宋体"/>
          <w:b/>
          <w:bCs/>
          <w:kern w:val="0"/>
          <w:szCs w:val="21"/>
        </w:rPr>
      </w:pPr>
      <w:r>
        <w:rPr>
          <w:rFonts w:hint="eastAsia" w:ascii="宋体" w:hAnsi="宋体" w:eastAsia="宋体" w:cs="宋体"/>
          <w:b/>
          <w:bCs/>
          <w:kern w:val="0"/>
          <w:szCs w:val="21"/>
        </w:rPr>
        <w:t>3.被保险人未遵医嘱，私自服用、涂用或注射特定药品；</w:t>
      </w:r>
    </w:p>
    <w:p>
      <w:pPr>
        <w:widowControl/>
        <w:autoSpaceDE w:val="0"/>
        <w:autoSpaceDN w:val="0"/>
        <w:spacing w:line="360" w:lineRule="auto"/>
        <w:ind w:left="420" w:leftChars="200"/>
        <w:jc w:val="left"/>
        <w:rPr>
          <w:rFonts w:ascii="宋体" w:hAnsi="宋体" w:eastAsia="宋体" w:cs="宋体"/>
          <w:b/>
          <w:bCs/>
          <w:kern w:val="0"/>
          <w:szCs w:val="21"/>
        </w:rPr>
      </w:pPr>
      <w:r>
        <w:rPr>
          <w:rFonts w:hint="eastAsia" w:ascii="宋体" w:hAnsi="宋体" w:eastAsia="宋体" w:cs="宋体"/>
          <w:b/>
          <w:bCs/>
          <w:kern w:val="0"/>
          <w:szCs w:val="21"/>
        </w:rPr>
        <w:t>4.被保险人未在保险人指定或认可的药店购买的药品；</w:t>
      </w:r>
    </w:p>
    <w:p>
      <w:pPr>
        <w:widowControl/>
        <w:autoSpaceDE w:val="0"/>
        <w:autoSpaceDN w:val="0"/>
        <w:spacing w:line="360" w:lineRule="auto"/>
        <w:ind w:firstLine="422" w:firstLineChars="200"/>
        <w:jc w:val="left"/>
        <w:rPr>
          <w:rFonts w:ascii="宋体" w:hAnsi="宋体" w:eastAsia="宋体" w:cs="宋体"/>
          <w:b/>
          <w:bCs/>
          <w:kern w:val="0"/>
          <w:szCs w:val="21"/>
        </w:rPr>
      </w:pPr>
      <w:r>
        <w:rPr>
          <w:rFonts w:hint="eastAsia" w:ascii="宋体" w:hAnsi="宋体" w:eastAsia="宋体" w:cs="宋体"/>
          <w:b/>
          <w:bCs/>
          <w:kern w:val="0"/>
          <w:szCs w:val="21"/>
        </w:rPr>
        <w:t>5.被保险人未按本合同约定的流程进行购药申请或经申请未审核通过；</w:t>
      </w:r>
    </w:p>
    <w:p>
      <w:pPr>
        <w:widowControl/>
        <w:autoSpaceDE w:val="0"/>
        <w:autoSpaceDN w:val="0"/>
        <w:spacing w:line="360" w:lineRule="auto"/>
        <w:ind w:firstLine="422" w:firstLineChars="200"/>
        <w:jc w:val="left"/>
        <w:rPr>
          <w:rFonts w:ascii="宋体" w:hAnsi="宋体" w:eastAsia="宋体" w:cs="宋体"/>
          <w:b/>
          <w:bCs/>
          <w:szCs w:val="21"/>
        </w:rPr>
      </w:pPr>
      <w:r>
        <w:rPr>
          <w:rFonts w:hint="eastAsia" w:ascii="宋体" w:hAnsi="宋体" w:eastAsia="宋体" w:cs="宋体"/>
          <w:b/>
          <w:bCs/>
          <w:szCs w:val="21"/>
        </w:rPr>
        <w:t>6.被保险人首次购买特定药品的日期不在保险期间内的；</w:t>
      </w:r>
    </w:p>
    <w:p>
      <w:pPr>
        <w:widowControl/>
        <w:autoSpaceDE w:val="0"/>
        <w:autoSpaceDN w:val="0"/>
        <w:spacing w:line="360" w:lineRule="auto"/>
        <w:ind w:firstLine="422" w:firstLineChars="200"/>
        <w:jc w:val="left"/>
        <w:rPr>
          <w:rFonts w:ascii="宋体" w:hAnsi="宋体" w:eastAsia="宋体" w:cs="宋体"/>
          <w:b/>
          <w:bCs/>
          <w:szCs w:val="21"/>
        </w:rPr>
      </w:pPr>
      <w:r>
        <w:rPr>
          <w:rFonts w:hint="eastAsia" w:ascii="宋体" w:hAnsi="宋体" w:eastAsia="宋体" w:cs="宋体"/>
          <w:b/>
          <w:bCs/>
          <w:szCs w:val="21"/>
        </w:rPr>
        <w:t>7.特定药品处方的开具与中国国家药品监督管理局批准的该药品说明书中所列明的适应症和用法用量不符</w:t>
      </w:r>
      <w:r>
        <w:rPr>
          <w:rFonts w:hint="eastAsia" w:asciiTheme="minorEastAsia" w:hAnsiTheme="minorEastAsia" w:cstheme="minorEastAsia"/>
          <w:b/>
          <w:bCs/>
          <w:szCs w:val="21"/>
        </w:rPr>
        <w:t>，或相关医学材料不能证明被保险人所患疾病符合使用特定药物的指征</w:t>
      </w:r>
      <w:r>
        <w:rPr>
          <w:rFonts w:hint="eastAsia" w:ascii="宋体" w:hAnsi="宋体" w:eastAsia="宋体" w:cs="宋体"/>
          <w:b/>
          <w:bCs/>
          <w:szCs w:val="21"/>
        </w:rPr>
        <w:t>；</w:t>
      </w:r>
    </w:p>
    <w:p>
      <w:pPr>
        <w:widowControl/>
        <w:autoSpaceDE w:val="0"/>
        <w:autoSpaceDN w:val="0"/>
        <w:spacing w:line="360" w:lineRule="auto"/>
        <w:ind w:firstLine="422" w:firstLineChars="200"/>
        <w:jc w:val="left"/>
        <w:rPr>
          <w:rFonts w:ascii="宋体" w:hAnsi="宋体" w:eastAsia="宋体" w:cs="宋体"/>
          <w:b/>
          <w:bCs/>
          <w:szCs w:val="21"/>
        </w:rPr>
      </w:pPr>
      <w:r>
        <w:rPr>
          <w:rFonts w:hint="eastAsia" w:ascii="宋体" w:hAnsi="宋体" w:eastAsia="宋体" w:cs="宋体"/>
          <w:b/>
          <w:bCs/>
          <w:szCs w:val="21"/>
        </w:rPr>
        <w:t>8.被保险人使用处方申请中的药品已有一段时间，但所提交的医学材料不能证明该药品对被保险人当前的疾病状态产生有益的治疗疗效（指肿瘤病灶按照RECIST评价标准(实体瘤治疗疗效评价标准（见释义14）)没有进展）。</w:t>
      </w:r>
    </w:p>
    <w:p>
      <w:pPr>
        <w:spacing w:line="360" w:lineRule="auto"/>
        <w:jc w:val="left"/>
        <w:rPr>
          <w:rFonts w:ascii="宋体" w:hAnsi="宋体" w:eastAsia="宋体" w:cs="宋体"/>
          <w:bCs/>
          <w:szCs w:val="21"/>
        </w:rPr>
      </w:pPr>
    </w:p>
    <w:p>
      <w:pPr>
        <w:autoSpaceDE w:val="0"/>
        <w:autoSpaceDN w:val="0"/>
        <w:spacing w:line="360" w:lineRule="auto"/>
        <w:ind w:firstLine="422" w:firstLineChars="200"/>
        <w:jc w:val="center"/>
        <w:rPr>
          <w:rFonts w:ascii="宋体" w:hAnsi="宋体" w:eastAsia="宋体" w:cs="宋体"/>
          <w:b/>
          <w:bCs/>
          <w:szCs w:val="21"/>
        </w:rPr>
      </w:pPr>
      <w:r>
        <w:rPr>
          <w:rFonts w:hint="eastAsia" w:cs="宋体" w:asciiTheme="minorEastAsia" w:hAnsiTheme="minorEastAsia"/>
          <w:b/>
          <w:bCs/>
          <w:szCs w:val="21"/>
        </w:rPr>
        <w:t>特定药品</w:t>
      </w:r>
      <w:r>
        <w:rPr>
          <w:rFonts w:hint="eastAsia" w:ascii="宋体" w:hAnsi="宋体" w:eastAsia="宋体" w:cs="宋体"/>
          <w:b/>
          <w:bCs/>
          <w:szCs w:val="21"/>
        </w:rPr>
        <w:t>购药服务流程</w:t>
      </w:r>
    </w:p>
    <w:p>
      <w:pPr>
        <w:widowControl/>
        <w:autoSpaceDE w:val="0"/>
        <w:autoSpaceDN w:val="0"/>
        <w:spacing w:line="360" w:lineRule="auto"/>
        <w:ind w:firstLine="420"/>
        <w:jc w:val="left"/>
        <w:rPr>
          <w:rFonts w:ascii="宋体" w:hAnsi="宋体" w:eastAsia="宋体" w:cs="宋体"/>
          <w:kern w:val="0"/>
          <w:szCs w:val="21"/>
        </w:rPr>
      </w:pPr>
      <w:r>
        <w:rPr>
          <w:rFonts w:hint="eastAsia" w:ascii="宋体" w:hAnsi="宋体" w:eastAsia="宋体" w:cs="宋体"/>
          <w:b/>
          <w:bCs/>
          <w:kern w:val="0"/>
          <w:szCs w:val="21"/>
        </w:rPr>
        <w:t>第七条</w:t>
      </w:r>
      <w:r>
        <w:rPr>
          <w:rFonts w:hint="eastAsia" w:ascii="宋体" w:hAnsi="宋体" w:eastAsia="宋体" w:cs="宋体"/>
          <w:kern w:val="0"/>
          <w:szCs w:val="21"/>
        </w:rPr>
        <w:t xml:space="preserve"> 在保险期间内，如果被保险人需在保险人指定药店</w:t>
      </w:r>
      <w:r>
        <w:rPr>
          <w:rFonts w:hint="eastAsia" w:cs="宋体" w:asciiTheme="minorEastAsia" w:hAnsiTheme="minorEastAsia"/>
          <w:kern w:val="0"/>
          <w:szCs w:val="21"/>
        </w:rPr>
        <w:t>或</w:t>
      </w:r>
      <w:r>
        <w:rPr>
          <w:rFonts w:hint="eastAsia" w:asciiTheme="minorEastAsia" w:hAnsiTheme="minorEastAsia" w:cstheme="minorEastAsia"/>
          <w:szCs w:val="21"/>
        </w:rPr>
        <w:t>海南博鳌乐城国际医疗旅游先行区特定医疗机构</w:t>
      </w:r>
      <w:r>
        <w:rPr>
          <w:rFonts w:hint="eastAsia" w:ascii="宋体" w:hAnsi="宋体" w:eastAsia="宋体" w:cs="宋体"/>
          <w:kern w:val="0"/>
          <w:szCs w:val="21"/>
        </w:rPr>
        <w:t>购买专科医生开具的药品处方中所列明的特定药品，需按照以下流程进行</w:t>
      </w:r>
      <w:r>
        <w:rPr>
          <w:rFonts w:hint="eastAsia" w:cs="宋体" w:asciiTheme="minorEastAsia" w:hAnsiTheme="minorEastAsia"/>
          <w:kern w:val="0"/>
          <w:szCs w:val="21"/>
        </w:rPr>
        <w:t>购药申请、</w:t>
      </w:r>
      <w:r>
        <w:rPr>
          <w:rFonts w:hint="eastAsia" w:ascii="宋体" w:hAnsi="宋体" w:eastAsia="宋体" w:cs="宋体"/>
          <w:kern w:val="0"/>
          <w:szCs w:val="21"/>
        </w:rPr>
        <w:t>药品处方审核和药品购买：</w:t>
      </w:r>
    </w:p>
    <w:p>
      <w:pPr>
        <w:autoSpaceDE w:val="0"/>
        <w:autoSpaceDN w:val="0"/>
        <w:spacing w:line="360" w:lineRule="auto"/>
        <w:ind w:firstLine="422" w:firstLineChars="200"/>
        <w:rPr>
          <w:rFonts w:cs="宋体" w:asciiTheme="minorEastAsia" w:hAnsiTheme="minorEastAsia"/>
          <w:b/>
          <w:bCs/>
          <w:kern w:val="0"/>
          <w:szCs w:val="21"/>
        </w:rPr>
      </w:pPr>
      <w:r>
        <w:rPr>
          <w:rFonts w:hint="eastAsia" w:cs="宋体" w:asciiTheme="minorEastAsia" w:hAnsiTheme="minorEastAsia"/>
          <w:b/>
          <w:bCs/>
          <w:szCs w:val="21"/>
        </w:rPr>
        <w:t>（一）</w:t>
      </w:r>
      <w:r>
        <w:rPr>
          <w:rFonts w:hint="eastAsia" w:asciiTheme="minorEastAsia" w:hAnsiTheme="minorEastAsia" w:cstheme="minorEastAsia"/>
          <w:b/>
        </w:rPr>
        <w:t>中国国家药品监督管理局批准且已在中国境内（不包含港澳台地区）上市的靶向药物和免疫治疗药物</w:t>
      </w:r>
      <w:r>
        <w:rPr>
          <w:rFonts w:hint="eastAsia" w:cs="宋体" w:asciiTheme="minorEastAsia" w:hAnsiTheme="minorEastAsia"/>
          <w:b/>
          <w:bCs/>
          <w:szCs w:val="21"/>
        </w:rPr>
        <w:t>购药服务流程</w:t>
      </w:r>
    </w:p>
    <w:p>
      <w:pPr>
        <w:widowControl/>
        <w:autoSpaceDE w:val="0"/>
        <w:autoSpaceDN w:val="0"/>
        <w:spacing w:line="360" w:lineRule="auto"/>
        <w:ind w:firstLine="422"/>
        <w:jc w:val="left"/>
        <w:rPr>
          <w:rFonts w:ascii="宋体" w:hAnsi="宋体" w:eastAsia="宋体" w:cs="宋体"/>
          <w:b/>
          <w:bCs/>
          <w:kern w:val="0"/>
          <w:szCs w:val="21"/>
        </w:rPr>
      </w:pPr>
      <w:r>
        <w:rPr>
          <w:rFonts w:hint="eastAsia" w:ascii="宋体" w:hAnsi="宋体" w:eastAsia="宋体" w:cs="宋体"/>
          <w:b/>
          <w:bCs/>
          <w:kern w:val="0"/>
          <w:szCs w:val="21"/>
        </w:rPr>
        <w:t>1、</w:t>
      </w:r>
      <w:r>
        <w:rPr>
          <w:rFonts w:hint="eastAsia" w:cs="宋体" w:asciiTheme="minorEastAsia" w:hAnsiTheme="minorEastAsia"/>
          <w:b/>
          <w:bCs/>
          <w:kern w:val="0"/>
          <w:szCs w:val="21"/>
        </w:rPr>
        <w:t>购药申请</w:t>
      </w:r>
      <w:r>
        <w:rPr>
          <w:rFonts w:hint="eastAsia" w:ascii="宋体" w:hAnsi="宋体" w:eastAsia="宋体" w:cs="宋体"/>
          <w:b/>
          <w:bCs/>
          <w:kern w:val="0"/>
          <w:szCs w:val="21"/>
        </w:rPr>
        <w:t>和药品处方审核流程：</w:t>
      </w:r>
    </w:p>
    <w:p>
      <w:pPr>
        <w:widowControl/>
        <w:autoSpaceDE w:val="0"/>
        <w:autoSpaceDN w:val="0"/>
        <w:spacing w:line="360" w:lineRule="auto"/>
        <w:ind w:firstLine="422"/>
        <w:jc w:val="left"/>
        <w:rPr>
          <w:rFonts w:ascii="宋体" w:hAnsi="宋体" w:eastAsia="宋体" w:cs="宋体"/>
          <w:kern w:val="0"/>
          <w:szCs w:val="21"/>
        </w:rPr>
      </w:pPr>
      <w:r>
        <w:rPr>
          <w:rFonts w:hint="eastAsia" w:ascii="宋体" w:hAnsi="宋体" w:eastAsia="宋体" w:cs="宋体"/>
          <w:b/>
          <w:bCs/>
          <w:kern w:val="0"/>
          <w:szCs w:val="21"/>
        </w:rPr>
        <w:t>保险金申请人</w:t>
      </w:r>
      <w:r>
        <w:rPr>
          <w:rFonts w:hint="eastAsia" w:ascii="宋体" w:hAnsi="宋体" w:eastAsia="宋体" w:cs="宋体"/>
          <w:b/>
          <w:kern w:val="0"/>
          <w:szCs w:val="21"/>
        </w:rPr>
        <w:t>（释义15）</w:t>
      </w:r>
      <w:r>
        <w:rPr>
          <w:rFonts w:hint="eastAsia" w:ascii="宋体" w:hAnsi="宋体" w:eastAsia="宋体" w:cs="宋体"/>
          <w:kern w:val="0"/>
          <w:szCs w:val="21"/>
        </w:rPr>
        <w:t>向保险人提交指定药店购药申请（以下简称“购药申请”），并提供下列授权申请材料：</w:t>
      </w:r>
    </w:p>
    <w:p>
      <w:pPr>
        <w:widowControl/>
        <w:autoSpaceDE w:val="0"/>
        <w:autoSpaceDN w:val="0"/>
        <w:spacing w:line="360" w:lineRule="auto"/>
        <w:ind w:firstLine="420"/>
        <w:jc w:val="left"/>
        <w:rPr>
          <w:rFonts w:ascii="宋体" w:hAnsi="宋体" w:eastAsia="宋体" w:cs="宋体"/>
          <w:kern w:val="0"/>
          <w:szCs w:val="21"/>
        </w:rPr>
      </w:pPr>
      <w:r>
        <w:rPr>
          <w:rFonts w:hint="eastAsia" w:ascii="宋体" w:hAnsi="宋体" w:eastAsia="宋体" w:cs="宋体"/>
          <w:kern w:val="0"/>
          <w:szCs w:val="21"/>
        </w:rPr>
        <w:t>（1）保险金给付申请书；</w:t>
      </w:r>
    </w:p>
    <w:p>
      <w:pPr>
        <w:widowControl/>
        <w:autoSpaceDE w:val="0"/>
        <w:autoSpaceDN w:val="0"/>
        <w:spacing w:line="360" w:lineRule="auto"/>
        <w:ind w:firstLine="420"/>
        <w:jc w:val="left"/>
        <w:rPr>
          <w:rFonts w:ascii="宋体" w:hAnsi="宋体" w:eastAsia="宋体" w:cs="宋体"/>
          <w:kern w:val="0"/>
          <w:szCs w:val="21"/>
        </w:rPr>
      </w:pPr>
      <w:r>
        <w:rPr>
          <w:rFonts w:hint="eastAsia" w:ascii="宋体" w:hAnsi="宋体" w:eastAsia="宋体" w:cs="宋体"/>
          <w:kern w:val="0"/>
          <w:szCs w:val="21"/>
        </w:rPr>
        <w:t>（2）被保险人的</w:t>
      </w:r>
      <w:r>
        <w:rPr>
          <w:rFonts w:hint="eastAsia" w:ascii="宋体" w:hAnsi="宋体" w:eastAsia="宋体" w:cs="宋体"/>
          <w:b/>
          <w:bCs/>
          <w:kern w:val="0"/>
          <w:szCs w:val="21"/>
        </w:rPr>
        <w:t>有效身份证件</w:t>
      </w:r>
      <w:r>
        <w:rPr>
          <w:rFonts w:hint="eastAsia" w:ascii="宋体" w:hAnsi="宋体" w:eastAsia="宋体" w:cs="宋体"/>
          <w:b/>
          <w:kern w:val="0"/>
          <w:szCs w:val="21"/>
        </w:rPr>
        <w:t>（释义16）</w:t>
      </w:r>
      <w:r>
        <w:rPr>
          <w:rFonts w:hint="eastAsia" w:ascii="宋体" w:hAnsi="宋体" w:eastAsia="宋体" w:cs="宋体"/>
          <w:kern w:val="0"/>
          <w:szCs w:val="21"/>
        </w:rPr>
        <w:t>；</w:t>
      </w:r>
    </w:p>
    <w:p>
      <w:pPr>
        <w:widowControl/>
        <w:autoSpaceDE w:val="0"/>
        <w:autoSpaceDN w:val="0"/>
        <w:spacing w:line="360" w:lineRule="auto"/>
        <w:ind w:firstLine="420"/>
        <w:jc w:val="left"/>
        <w:rPr>
          <w:rFonts w:ascii="宋体" w:hAnsi="宋体" w:eastAsia="宋体" w:cs="宋体"/>
          <w:kern w:val="0"/>
          <w:szCs w:val="21"/>
        </w:rPr>
      </w:pPr>
      <w:r>
        <w:rPr>
          <w:rFonts w:hint="eastAsia" w:ascii="宋体" w:hAnsi="宋体" w:eastAsia="宋体" w:cs="宋体"/>
          <w:kern w:val="0"/>
          <w:szCs w:val="21"/>
        </w:rPr>
        <w:t>（3）支持审核的全部证明、信息和证据，包括但不限于医院出具的门诊及住院病历资料、 医学诊断书、病理检查报告、影像报告、检查化验报告、医疗费用原始单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费用明细单据等原件。保险金申请人因特殊原因不能提供上述材料的，应提供其他合法有效的材料；</w:t>
      </w:r>
    </w:p>
    <w:p>
      <w:pPr>
        <w:widowControl/>
        <w:autoSpaceDE w:val="0"/>
        <w:autoSpaceDN w:val="0"/>
        <w:spacing w:line="360" w:lineRule="auto"/>
        <w:ind w:firstLine="420"/>
        <w:jc w:val="left"/>
        <w:rPr>
          <w:rFonts w:ascii="宋体" w:hAnsi="宋体" w:eastAsia="宋体" w:cs="宋体"/>
          <w:kern w:val="0"/>
          <w:szCs w:val="21"/>
        </w:rPr>
      </w:pPr>
      <w:r>
        <w:rPr>
          <w:rFonts w:hint="eastAsia" w:ascii="宋体" w:hAnsi="宋体" w:eastAsia="宋体" w:cs="宋体"/>
          <w:kern w:val="0"/>
          <w:szCs w:val="21"/>
        </w:rPr>
        <w:t>（4）医生开具的特定药品处方；</w:t>
      </w:r>
    </w:p>
    <w:p>
      <w:pPr>
        <w:widowControl/>
        <w:autoSpaceDE w:val="0"/>
        <w:autoSpaceDN w:val="0"/>
        <w:spacing w:line="360" w:lineRule="auto"/>
        <w:ind w:firstLine="420"/>
        <w:jc w:val="left"/>
        <w:rPr>
          <w:rFonts w:ascii="宋体" w:hAnsi="宋体" w:eastAsia="宋体" w:cs="宋体"/>
          <w:kern w:val="0"/>
          <w:szCs w:val="21"/>
        </w:rPr>
      </w:pPr>
      <w:r>
        <w:rPr>
          <w:rFonts w:hint="eastAsia" w:ascii="宋体" w:hAnsi="宋体" w:eastAsia="宋体" w:cs="宋体"/>
          <w:kern w:val="0"/>
          <w:szCs w:val="21"/>
        </w:rPr>
        <w:t>（5）医院开具的外购药证明；</w:t>
      </w:r>
    </w:p>
    <w:p>
      <w:pPr>
        <w:widowControl/>
        <w:autoSpaceDE w:val="0"/>
        <w:autoSpaceDN w:val="0"/>
        <w:spacing w:line="360" w:lineRule="auto"/>
        <w:ind w:firstLine="420"/>
        <w:jc w:val="left"/>
        <w:rPr>
          <w:rFonts w:ascii="宋体" w:hAnsi="宋体" w:eastAsia="宋体" w:cs="宋体"/>
          <w:kern w:val="0"/>
          <w:szCs w:val="21"/>
        </w:rPr>
      </w:pPr>
      <w:r>
        <w:rPr>
          <w:rFonts w:hint="eastAsia" w:ascii="宋体" w:hAnsi="宋体" w:eastAsia="宋体" w:cs="宋体"/>
          <w:kern w:val="0"/>
          <w:szCs w:val="21"/>
        </w:rPr>
        <w:t>（6）保险金申请人所能提供的与确认保险事故性质、原因、损失程度等有关的其他证明和资料；</w:t>
      </w:r>
    </w:p>
    <w:p>
      <w:pPr>
        <w:widowControl/>
        <w:autoSpaceDE w:val="0"/>
        <w:autoSpaceDN w:val="0"/>
        <w:spacing w:line="360" w:lineRule="auto"/>
        <w:ind w:firstLine="420"/>
        <w:jc w:val="left"/>
        <w:rPr>
          <w:rFonts w:ascii="宋体" w:hAnsi="宋体" w:eastAsia="宋体" w:cs="宋体"/>
          <w:kern w:val="0"/>
          <w:szCs w:val="21"/>
        </w:rPr>
      </w:pPr>
      <w:r>
        <w:rPr>
          <w:rFonts w:hint="eastAsia" w:ascii="宋体" w:hAnsi="宋体" w:eastAsia="宋体" w:cs="宋体"/>
          <w:kern w:val="0"/>
          <w:szCs w:val="21"/>
        </w:rPr>
        <w:t>（7）若保险金申请人委托他人申请的，还应提供保险金转账授权书原件、委托人和受托人的身份证明等相关证明文件。受益人为无民事行为能力人或者限制民事行为能力人的，由其监护人代为申领保险金，并需要提供监护人的身份证明等材料。</w:t>
      </w:r>
    </w:p>
    <w:p>
      <w:pPr>
        <w:widowControl/>
        <w:autoSpaceDE w:val="0"/>
        <w:autoSpaceDN w:val="0"/>
        <w:spacing w:line="360" w:lineRule="auto"/>
        <w:ind w:firstLine="420"/>
        <w:jc w:val="left"/>
        <w:rPr>
          <w:rFonts w:ascii="宋体" w:hAnsi="宋体" w:eastAsia="宋体" w:cs="宋体"/>
          <w:kern w:val="0"/>
          <w:szCs w:val="21"/>
        </w:rPr>
      </w:pPr>
      <w:r>
        <w:rPr>
          <w:rFonts w:hint="eastAsia" w:ascii="宋体" w:hAnsi="宋体" w:eastAsia="宋体" w:cs="宋体"/>
          <w:kern w:val="0"/>
          <w:szCs w:val="21"/>
        </w:rPr>
        <w:t>保险人基于提交的资料进行药品处方审核。</w:t>
      </w:r>
      <w:r>
        <w:rPr>
          <w:rFonts w:hint="eastAsia" w:ascii="宋体" w:hAnsi="宋体" w:eastAsia="宋体" w:cs="宋体"/>
          <w:b/>
          <w:bCs/>
          <w:kern w:val="0"/>
          <w:szCs w:val="21"/>
        </w:rPr>
        <w:t>若保险金申请人提交的相关材料不足以支持药品处方审核，或者医学材料中相关的科学方法检验报告结果不支持药品处方的开具，保险人有权要求并一次性通知保险金申请人补充提供有关证明和资料。</w:t>
      </w:r>
    </w:p>
    <w:p>
      <w:pPr>
        <w:widowControl/>
        <w:spacing w:line="360" w:lineRule="auto"/>
        <w:ind w:firstLine="422"/>
        <w:jc w:val="left"/>
        <w:rPr>
          <w:rFonts w:ascii="宋体" w:hAnsi="宋体" w:eastAsia="宋体" w:cs="宋体"/>
          <w:b/>
          <w:bCs/>
          <w:kern w:val="0"/>
          <w:szCs w:val="21"/>
        </w:rPr>
      </w:pPr>
      <w:r>
        <w:rPr>
          <w:rFonts w:hint="eastAsia" w:ascii="宋体" w:hAnsi="宋体" w:eastAsia="宋体" w:cs="宋体"/>
          <w:b/>
          <w:bCs/>
          <w:kern w:val="0"/>
          <w:szCs w:val="21"/>
        </w:rPr>
        <w:t>如果保险金申请人未提交授权申请或者处方审核未通过，保险人不承担赔偿恶性肿瘤特定药品费用保险金的责任。</w:t>
      </w:r>
    </w:p>
    <w:p>
      <w:pPr>
        <w:widowControl/>
        <w:autoSpaceDE w:val="0"/>
        <w:autoSpaceDN w:val="0"/>
        <w:spacing w:line="360" w:lineRule="auto"/>
        <w:ind w:firstLine="422"/>
        <w:jc w:val="left"/>
        <w:rPr>
          <w:rFonts w:ascii="宋体" w:hAnsi="宋体" w:eastAsia="宋体" w:cs="宋体"/>
          <w:b/>
          <w:bCs/>
          <w:kern w:val="0"/>
          <w:szCs w:val="21"/>
        </w:rPr>
      </w:pPr>
      <w:r>
        <w:rPr>
          <w:rFonts w:hint="eastAsia" w:ascii="宋体" w:hAnsi="宋体" w:eastAsia="宋体" w:cs="宋体"/>
          <w:b/>
          <w:bCs/>
          <w:kern w:val="0"/>
          <w:szCs w:val="21"/>
        </w:rPr>
        <w:t>2、院外直付用药服务流程</w:t>
      </w:r>
    </w:p>
    <w:p>
      <w:pPr>
        <w:widowControl/>
        <w:autoSpaceDE w:val="0"/>
        <w:autoSpaceDN w:val="0"/>
        <w:spacing w:line="360" w:lineRule="auto"/>
        <w:ind w:firstLine="420"/>
        <w:jc w:val="left"/>
        <w:rPr>
          <w:rFonts w:ascii="宋体" w:hAnsi="宋体" w:eastAsia="宋体" w:cs="宋体"/>
          <w:kern w:val="0"/>
          <w:szCs w:val="21"/>
        </w:rPr>
      </w:pPr>
      <w:r>
        <w:rPr>
          <w:rFonts w:hint="eastAsia" w:ascii="宋体" w:hAnsi="宋体" w:eastAsia="宋体" w:cs="宋体"/>
          <w:kern w:val="0"/>
          <w:szCs w:val="21"/>
        </w:rPr>
        <w:t>特定药品</w:t>
      </w:r>
      <w:r>
        <w:rPr>
          <w:rFonts w:hint="eastAsia" w:cs="宋体" w:asciiTheme="minorEastAsia" w:hAnsiTheme="minorEastAsia"/>
          <w:kern w:val="0"/>
          <w:szCs w:val="21"/>
        </w:rPr>
        <w:t>购药</w:t>
      </w:r>
      <w:r>
        <w:rPr>
          <w:rFonts w:hint="eastAsia" w:ascii="宋体" w:hAnsi="宋体" w:eastAsia="宋体" w:cs="宋体"/>
          <w:kern w:val="0"/>
          <w:szCs w:val="21"/>
        </w:rPr>
        <w:t>申请及特定药品处方首次经保险人审核通过后，保险人将指引保险金申请人，携带</w:t>
      </w:r>
      <w:r>
        <w:rPr>
          <w:rFonts w:hint="eastAsia" w:cs="宋体" w:asciiTheme="minorEastAsia" w:hAnsiTheme="minorEastAsia"/>
          <w:kern w:val="0"/>
          <w:szCs w:val="21"/>
        </w:rPr>
        <w:t>或配合提供</w:t>
      </w:r>
      <w:r>
        <w:rPr>
          <w:rFonts w:hint="eastAsia" w:ascii="宋体" w:hAnsi="宋体" w:eastAsia="宋体" w:cs="宋体"/>
          <w:kern w:val="0"/>
          <w:szCs w:val="21"/>
        </w:rPr>
        <w:t>有效药品处方、保险金申请人的有效身份证件、被保险人的中华人民共和国社会保障卡（如有）</w:t>
      </w:r>
      <w:r>
        <w:rPr>
          <w:rFonts w:hint="eastAsia" w:cs="宋体" w:asciiTheme="minorEastAsia" w:hAnsiTheme="minorEastAsia"/>
          <w:kern w:val="0"/>
          <w:szCs w:val="21"/>
        </w:rPr>
        <w:t>、保险金代领取授权书（工作人员出具）、领药确认书（工作人员出具）</w:t>
      </w:r>
      <w:r>
        <w:rPr>
          <w:rFonts w:hint="eastAsia" w:ascii="宋体" w:hAnsi="宋体" w:eastAsia="宋体" w:cs="宋体"/>
          <w:kern w:val="0"/>
          <w:szCs w:val="21"/>
        </w:rPr>
        <w:t>到保险人与保险金申请人确认取药的指定药店自取药品。</w:t>
      </w:r>
    </w:p>
    <w:p>
      <w:pPr>
        <w:widowControl/>
        <w:autoSpaceDE w:val="0"/>
        <w:autoSpaceDN w:val="0"/>
        <w:spacing w:line="360" w:lineRule="auto"/>
        <w:ind w:firstLine="420"/>
        <w:jc w:val="left"/>
        <w:rPr>
          <w:rFonts w:ascii="宋体" w:hAnsi="宋体" w:eastAsia="宋体" w:cs="宋体"/>
          <w:kern w:val="0"/>
          <w:szCs w:val="21"/>
        </w:rPr>
      </w:pPr>
      <w:r>
        <w:rPr>
          <w:rFonts w:hint="eastAsia" w:cs="宋体" w:asciiTheme="minorEastAsia" w:hAnsiTheme="minorEastAsia"/>
          <w:kern w:val="0"/>
          <w:szCs w:val="21"/>
        </w:rPr>
        <w:t>在取药时，保险金申请人须将本附加合同项下的保险金授权相应机构代为领取。该机构对保险金申请人免收本附加合同约定的保险责任范围内的药品费用。保险金将由保险人直接与相应机构直接结算保险人应当承担的保险金。</w:t>
      </w:r>
      <w:r>
        <w:rPr>
          <w:rFonts w:hint="eastAsia" w:cs="宋体" w:asciiTheme="minorEastAsia" w:hAnsiTheme="minorEastAsia"/>
          <w:b/>
          <w:bCs/>
          <w:kern w:val="0"/>
          <w:szCs w:val="21"/>
        </w:rPr>
        <w:t>属于本附加合同保险责任范围内的费用，保险申请人已经授权相应机构代为领取后，不应再向保险人申请该部分保险金。</w:t>
      </w:r>
    </w:p>
    <w:p>
      <w:pPr>
        <w:widowControl/>
        <w:autoSpaceDE w:val="0"/>
        <w:autoSpaceDN w:val="0"/>
        <w:spacing w:line="360" w:lineRule="auto"/>
        <w:ind w:firstLine="420"/>
        <w:jc w:val="left"/>
        <w:rPr>
          <w:rFonts w:cs="宋体" w:asciiTheme="minorEastAsia" w:hAnsiTheme="minorEastAsia"/>
          <w:b/>
          <w:bCs/>
          <w:kern w:val="0"/>
          <w:szCs w:val="21"/>
        </w:rPr>
      </w:pPr>
      <w:r>
        <w:rPr>
          <w:rFonts w:hint="eastAsia" w:cs="宋体" w:asciiTheme="minorEastAsia" w:hAnsiTheme="minorEastAsia"/>
          <w:b/>
          <w:bCs/>
          <w:kern w:val="0"/>
          <w:szCs w:val="21"/>
        </w:rPr>
        <w:t>（二）</w:t>
      </w:r>
      <w:r>
        <w:rPr>
          <w:rFonts w:hint="eastAsia" w:asciiTheme="minorEastAsia" w:hAnsiTheme="minorEastAsia" w:cstheme="minorEastAsia"/>
          <w:b/>
          <w:szCs w:val="21"/>
        </w:rPr>
        <w:t>海南博鳌乐城国际医疗旅游先行区临床急需进口药品</w:t>
      </w:r>
      <w:r>
        <w:rPr>
          <w:rFonts w:hint="eastAsia" w:cs="宋体" w:asciiTheme="minorEastAsia" w:hAnsiTheme="minorEastAsia"/>
          <w:b/>
          <w:bCs/>
          <w:kern w:val="0"/>
          <w:szCs w:val="21"/>
        </w:rPr>
        <w:t>购药服务流程</w:t>
      </w:r>
    </w:p>
    <w:p>
      <w:pPr>
        <w:widowControl/>
        <w:autoSpaceDE w:val="0"/>
        <w:autoSpaceDN w:val="0"/>
        <w:spacing w:line="360" w:lineRule="auto"/>
        <w:ind w:firstLine="420"/>
        <w:jc w:val="left"/>
        <w:rPr>
          <w:rFonts w:cs="宋体" w:asciiTheme="minorEastAsia" w:hAnsiTheme="minorEastAsia"/>
          <w:bCs/>
          <w:kern w:val="0"/>
          <w:szCs w:val="21"/>
        </w:rPr>
      </w:pPr>
      <w:r>
        <w:rPr>
          <w:rFonts w:cs="宋体" w:asciiTheme="minorEastAsia" w:hAnsiTheme="minorEastAsia"/>
          <w:bCs/>
          <w:kern w:val="0"/>
          <w:szCs w:val="21"/>
        </w:rPr>
        <w:t>被保险人在</w:t>
      </w:r>
      <w:r>
        <w:rPr>
          <w:rFonts w:hint="eastAsia" w:asciiTheme="minorEastAsia" w:hAnsiTheme="minorEastAsia" w:cstheme="minorEastAsia"/>
          <w:szCs w:val="21"/>
        </w:rPr>
        <w:t>海南博鳌乐城国际医疗旅游先行区</w:t>
      </w:r>
      <w:r>
        <w:rPr>
          <w:rFonts w:cs="宋体" w:asciiTheme="minorEastAsia" w:hAnsiTheme="minorEastAsia"/>
          <w:bCs/>
          <w:kern w:val="0"/>
          <w:szCs w:val="21"/>
        </w:rPr>
        <w:t>特定医疗机构购买进口药品的，须按照以下流程进行</w:t>
      </w:r>
      <w:r>
        <w:rPr>
          <w:rFonts w:hint="eastAsia" w:cs="宋体" w:asciiTheme="minorEastAsia" w:hAnsiTheme="minorEastAsia"/>
          <w:bCs/>
          <w:kern w:val="0"/>
          <w:szCs w:val="21"/>
        </w:rPr>
        <w:t>购药申请</w:t>
      </w:r>
      <w:r>
        <w:rPr>
          <w:rFonts w:cs="宋体" w:asciiTheme="minorEastAsia" w:hAnsiTheme="minorEastAsia"/>
          <w:bCs/>
          <w:kern w:val="0"/>
          <w:szCs w:val="21"/>
        </w:rPr>
        <w:t>、进口药品适用性初审、特定医疗机构病情诊断及进口药品申请，并至特定医疗机构购药：</w:t>
      </w:r>
    </w:p>
    <w:p>
      <w:pPr>
        <w:widowControl/>
        <w:autoSpaceDE w:val="0"/>
        <w:autoSpaceDN w:val="0"/>
        <w:spacing w:line="360" w:lineRule="auto"/>
        <w:ind w:firstLine="420" w:firstLineChars="200"/>
        <w:jc w:val="left"/>
        <w:rPr>
          <w:rFonts w:cs="宋体" w:asciiTheme="minorEastAsia" w:hAnsiTheme="minorEastAsia"/>
          <w:bCs/>
          <w:kern w:val="0"/>
          <w:szCs w:val="21"/>
        </w:rPr>
      </w:pPr>
      <w:r>
        <w:rPr>
          <w:rFonts w:hint="eastAsia" w:cs="宋体" w:asciiTheme="minorEastAsia" w:hAnsiTheme="minorEastAsia"/>
          <w:bCs/>
          <w:kern w:val="0"/>
          <w:szCs w:val="21"/>
        </w:rPr>
        <w:t>1.购药申请</w:t>
      </w:r>
    </w:p>
    <w:p>
      <w:pPr>
        <w:widowControl/>
        <w:autoSpaceDE w:val="0"/>
        <w:autoSpaceDN w:val="0"/>
        <w:spacing w:line="360" w:lineRule="auto"/>
        <w:ind w:firstLine="420" w:firstLineChars="200"/>
        <w:jc w:val="left"/>
        <w:rPr>
          <w:rFonts w:cs="宋体" w:asciiTheme="minorEastAsia" w:hAnsiTheme="minorEastAsia"/>
          <w:kern w:val="0"/>
          <w:szCs w:val="21"/>
        </w:rPr>
      </w:pPr>
      <w:r>
        <w:rPr>
          <w:rFonts w:cs="宋体" w:asciiTheme="minorEastAsia" w:hAnsiTheme="minorEastAsia"/>
          <w:kern w:val="0"/>
          <w:szCs w:val="21"/>
        </w:rPr>
        <w:t>被保险人作为申请人向保险人提交</w:t>
      </w:r>
      <w:r>
        <w:rPr>
          <w:rFonts w:hint="eastAsia" w:cs="宋体" w:asciiTheme="minorEastAsia" w:hAnsiTheme="minorEastAsia"/>
          <w:kern w:val="0"/>
          <w:szCs w:val="21"/>
        </w:rPr>
        <w:t>购药申请</w:t>
      </w:r>
      <w:r>
        <w:rPr>
          <w:rFonts w:cs="宋体" w:asciiTheme="minorEastAsia" w:hAnsiTheme="minorEastAsia"/>
          <w:kern w:val="0"/>
          <w:szCs w:val="21"/>
        </w:rPr>
        <w:t>，并按照保险人要求提交相关</w:t>
      </w:r>
      <w:r>
        <w:rPr>
          <w:rFonts w:hint="eastAsia" w:cs="宋体" w:asciiTheme="minorEastAsia" w:hAnsiTheme="minorEastAsia"/>
          <w:kern w:val="0"/>
          <w:szCs w:val="21"/>
        </w:rPr>
        <w:t>购药申请</w:t>
      </w:r>
      <w:r>
        <w:rPr>
          <w:rFonts w:cs="宋体" w:asciiTheme="minorEastAsia" w:hAnsiTheme="minorEastAsia"/>
          <w:kern w:val="0"/>
          <w:szCs w:val="21"/>
        </w:rPr>
        <w:t>材料，主要包括与被保险人相关的个人信息、病历资料、诊断证明、与诊断证明相关的检查检验报告及其他所需要的医学材料。</w:t>
      </w:r>
    </w:p>
    <w:p>
      <w:pPr>
        <w:widowControl/>
        <w:autoSpaceDE w:val="0"/>
        <w:autoSpaceDN w:val="0"/>
        <w:spacing w:line="360" w:lineRule="auto"/>
        <w:ind w:firstLine="420"/>
        <w:jc w:val="left"/>
        <w:rPr>
          <w:rFonts w:cs="宋体" w:asciiTheme="minorEastAsia" w:hAnsiTheme="minorEastAsia"/>
          <w:b/>
          <w:bCs/>
          <w:kern w:val="0"/>
          <w:szCs w:val="21"/>
        </w:rPr>
      </w:pPr>
      <w:r>
        <w:rPr>
          <w:rFonts w:hint="eastAsia" w:cs="宋体" w:asciiTheme="minorEastAsia" w:hAnsiTheme="minorEastAsia"/>
          <w:b/>
          <w:bCs/>
          <w:kern w:val="0"/>
          <w:szCs w:val="21"/>
        </w:rPr>
        <w:t>保险人将按照本附加合同约定的保险责任进行购药申请审核。如果申请人未提交购药申请或者购药申请审核未通过，保险人不承担给付进口药品费保险金的责任。</w:t>
      </w:r>
    </w:p>
    <w:p>
      <w:pPr>
        <w:widowControl/>
        <w:autoSpaceDE w:val="0"/>
        <w:autoSpaceDN w:val="0"/>
        <w:spacing w:line="360" w:lineRule="auto"/>
        <w:ind w:firstLine="420" w:firstLineChars="200"/>
        <w:jc w:val="left"/>
        <w:rPr>
          <w:rFonts w:cs="宋体" w:asciiTheme="minorEastAsia" w:hAnsiTheme="minorEastAsia"/>
          <w:b/>
          <w:bCs/>
          <w:kern w:val="0"/>
          <w:szCs w:val="21"/>
        </w:rPr>
      </w:pPr>
      <w:r>
        <w:rPr>
          <w:rFonts w:hint="eastAsia" w:cs="宋体" w:asciiTheme="minorEastAsia" w:hAnsiTheme="minorEastAsia"/>
          <w:kern w:val="0"/>
          <w:szCs w:val="21"/>
        </w:rPr>
        <w:t>2.进口药品适用性初审</w:t>
      </w:r>
    </w:p>
    <w:p>
      <w:pPr>
        <w:widowControl/>
        <w:autoSpaceDE w:val="0"/>
        <w:autoSpaceDN w:val="0"/>
        <w:spacing w:line="360" w:lineRule="auto"/>
        <w:ind w:firstLine="420" w:firstLineChars="200"/>
        <w:jc w:val="left"/>
        <w:rPr>
          <w:rFonts w:cs="宋体" w:asciiTheme="minorEastAsia" w:hAnsiTheme="minorEastAsia"/>
          <w:b/>
          <w:bCs/>
          <w:kern w:val="0"/>
          <w:szCs w:val="21"/>
        </w:rPr>
      </w:pPr>
      <w:r>
        <w:rPr>
          <w:rFonts w:hint="eastAsia" w:cs="宋体" w:asciiTheme="minorEastAsia" w:hAnsiTheme="minorEastAsia"/>
          <w:kern w:val="0"/>
          <w:szCs w:val="21"/>
        </w:rPr>
        <w:t>保险人将按照本附加合同约定的保险责任对申请人进行进口药品适用性初审。该适用性初审以药品说明书为依据并结合被保险人病情和基因检测报告等材料进行审慎评估。</w:t>
      </w:r>
      <w:r>
        <w:rPr>
          <w:rFonts w:hint="eastAsia" w:cs="宋体" w:asciiTheme="minorEastAsia" w:hAnsiTheme="minorEastAsia"/>
          <w:b/>
          <w:kern w:val="0"/>
          <w:szCs w:val="21"/>
        </w:rPr>
        <w:t>对于进口药品适用性初审中，申请人购药申请时提交的被保险人相关材料不足以支持使用进口药品，或者材料中相关的科学方法检验报告结果不支持使用进口药品，</w:t>
      </w:r>
      <w:r>
        <w:rPr>
          <w:rFonts w:hint="eastAsia" w:asciiTheme="minorEastAsia" w:hAnsiTheme="minorEastAsia"/>
          <w:b/>
        </w:rPr>
        <w:t>保险人有权一次性告知申请人补充其它支持被保险人使用进口药品的适用性初审材料。</w:t>
      </w:r>
      <w:r>
        <w:rPr>
          <w:rFonts w:hint="eastAsia" w:cs="宋体" w:asciiTheme="minorEastAsia" w:hAnsiTheme="minorEastAsia"/>
          <w:b/>
          <w:bCs/>
          <w:kern w:val="0"/>
          <w:szCs w:val="21"/>
        </w:rPr>
        <w:t>如果申请人进口药品适用性初审未通过，保险人不承担给付进口药品费保险金的责任。</w:t>
      </w:r>
    </w:p>
    <w:p>
      <w:pPr>
        <w:widowControl/>
        <w:autoSpaceDE w:val="0"/>
        <w:autoSpaceDN w:val="0"/>
        <w:spacing w:line="360" w:lineRule="auto"/>
        <w:ind w:firstLine="420"/>
        <w:jc w:val="left"/>
        <w:rPr>
          <w:rFonts w:cs="宋体" w:asciiTheme="minorEastAsia" w:hAnsiTheme="minorEastAsia"/>
          <w:bCs/>
          <w:kern w:val="0"/>
          <w:szCs w:val="21"/>
        </w:rPr>
      </w:pPr>
      <w:r>
        <w:rPr>
          <w:rFonts w:hint="eastAsia" w:cs="宋体" w:asciiTheme="minorEastAsia" w:hAnsiTheme="minorEastAsia"/>
          <w:bCs/>
          <w:kern w:val="0"/>
          <w:szCs w:val="21"/>
        </w:rPr>
        <w:t>3.特定医疗机构病情诊断及进口药品申请</w:t>
      </w:r>
    </w:p>
    <w:p>
      <w:pPr>
        <w:widowControl/>
        <w:autoSpaceDE w:val="0"/>
        <w:autoSpaceDN w:val="0"/>
        <w:spacing w:line="360" w:lineRule="auto"/>
        <w:ind w:firstLine="420"/>
        <w:jc w:val="left"/>
        <w:rPr>
          <w:rFonts w:cs="宋体" w:asciiTheme="minorEastAsia" w:hAnsiTheme="minorEastAsia"/>
          <w:kern w:val="0"/>
          <w:szCs w:val="21"/>
        </w:rPr>
      </w:pPr>
      <w:r>
        <w:rPr>
          <w:rFonts w:hint="eastAsia" w:cs="宋体" w:asciiTheme="minorEastAsia" w:hAnsiTheme="minorEastAsia"/>
          <w:kern w:val="0"/>
          <w:szCs w:val="21"/>
        </w:rPr>
        <w:t>进口药品适用性初审通过后，被保险人需通过特定医疗机构专科医生提供的病情诊断，确认该进口药品临床急需，并经</w:t>
      </w:r>
      <w:r>
        <w:rPr>
          <w:rFonts w:hint="eastAsia" w:asciiTheme="minorEastAsia" w:hAnsiTheme="minorEastAsia" w:cstheme="minorEastAsia"/>
          <w:szCs w:val="21"/>
        </w:rPr>
        <w:t>国务院药品监督管理部门或者国务院授权的省、自治区、直辖市人民政府批准</w:t>
      </w:r>
      <w:r>
        <w:rPr>
          <w:rFonts w:hint="eastAsia" w:cs="宋体" w:asciiTheme="minorEastAsia" w:hAnsiTheme="minorEastAsia"/>
          <w:kern w:val="0"/>
          <w:szCs w:val="21"/>
        </w:rPr>
        <w:t>。</w:t>
      </w:r>
    </w:p>
    <w:p>
      <w:pPr>
        <w:widowControl/>
        <w:autoSpaceDE w:val="0"/>
        <w:autoSpaceDN w:val="0"/>
        <w:spacing w:line="360" w:lineRule="auto"/>
        <w:ind w:firstLine="420"/>
        <w:jc w:val="left"/>
        <w:rPr>
          <w:rFonts w:cs="宋体" w:asciiTheme="minorEastAsia" w:hAnsiTheme="minorEastAsia"/>
          <w:b/>
          <w:bCs/>
          <w:kern w:val="0"/>
          <w:szCs w:val="21"/>
        </w:rPr>
      </w:pPr>
      <w:r>
        <w:rPr>
          <w:rFonts w:hint="eastAsia" w:cs="宋体" w:asciiTheme="minorEastAsia" w:hAnsiTheme="minorEastAsia"/>
          <w:b/>
          <w:bCs/>
          <w:kern w:val="0"/>
          <w:szCs w:val="21"/>
        </w:rPr>
        <w:t>如果特定医疗机构提出的进口药品申请未获批准，保险人不承担给付进口药品费保险金的责任。</w:t>
      </w:r>
    </w:p>
    <w:p>
      <w:pPr>
        <w:widowControl/>
        <w:autoSpaceDE w:val="0"/>
        <w:autoSpaceDN w:val="0"/>
        <w:spacing w:line="360" w:lineRule="auto"/>
        <w:ind w:firstLine="420"/>
        <w:jc w:val="left"/>
        <w:rPr>
          <w:rFonts w:cs="宋体" w:asciiTheme="minorEastAsia" w:hAnsiTheme="minorEastAsia"/>
          <w:bCs/>
          <w:kern w:val="0"/>
          <w:szCs w:val="21"/>
        </w:rPr>
      </w:pPr>
      <w:r>
        <w:rPr>
          <w:rFonts w:hint="eastAsia" w:cs="宋体" w:asciiTheme="minorEastAsia" w:hAnsiTheme="minorEastAsia"/>
          <w:bCs/>
          <w:kern w:val="0"/>
          <w:szCs w:val="21"/>
        </w:rPr>
        <w:t>4.特定医疗机构购药</w:t>
      </w:r>
    </w:p>
    <w:p>
      <w:pPr>
        <w:widowControl/>
        <w:autoSpaceDE w:val="0"/>
        <w:autoSpaceDN w:val="0"/>
        <w:spacing w:line="360" w:lineRule="auto"/>
        <w:ind w:firstLine="420"/>
        <w:jc w:val="left"/>
        <w:rPr>
          <w:rFonts w:cs="宋体" w:asciiTheme="minorEastAsia" w:hAnsiTheme="minorEastAsia"/>
          <w:kern w:val="0"/>
          <w:szCs w:val="21"/>
        </w:rPr>
      </w:pPr>
      <w:r>
        <w:rPr>
          <w:rFonts w:hint="eastAsia" w:cs="宋体" w:asciiTheme="minorEastAsia" w:hAnsiTheme="minorEastAsia"/>
          <w:kern w:val="0"/>
          <w:szCs w:val="21"/>
        </w:rPr>
        <w:t>特定医疗机构病情诊断及进口药品申请完成后，被保险人自行至特定医疗机构购药。</w:t>
      </w:r>
    </w:p>
    <w:p>
      <w:pPr>
        <w:spacing w:line="360" w:lineRule="auto"/>
        <w:jc w:val="center"/>
        <w:rPr>
          <w:rFonts w:ascii="宋体" w:hAnsi="宋体" w:eastAsia="宋体" w:cs="宋体"/>
          <w:bCs/>
          <w:szCs w:val="21"/>
        </w:rPr>
      </w:pPr>
    </w:p>
    <w:p>
      <w:pPr>
        <w:adjustRightInd w:val="0"/>
        <w:snapToGrid w:val="0"/>
        <w:spacing w:after="160" w:line="360" w:lineRule="auto"/>
        <w:ind w:firstLine="422" w:firstLineChars="200"/>
        <w:jc w:val="center"/>
        <w:rPr>
          <w:rFonts w:ascii="宋体" w:hAnsi="宋体" w:eastAsia="宋体" w:cs="宋体"/>
          <w:b/>
          <w:bCs/>
          <w:kern w:val="0"/>
          <w:szCs w:val="21"/>
        </w:rPr>
      </w:pPr>
      <w:r>
        <w:rPr>
          <w:rFonts w:hint="eastAsia" w:ascii="宋体" w:hAnsi="宋体" w:eastAsia="宋体" w:cs="宋体"/>
          <w:b/>
          <w:bCs/>
          <w:kern w:val="0"/>
          <w:szCs w:val="21"/>
        </w:rPr>
        <w:t>释义</w:t>
      </w:r>
    </w:p>
    <w:p>
      <w:pPr>
        <w:pStyle w:val="19"/>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1、等待期：指自保险合同生效之日起计算的一段时间，具体天数由保险人和投保人在投保时约定并在本合同上载明，</w:t>
      </w:r>
      <w:r>
        <w:rPr>
          <w:rFonts w:hint="eastAsia" w:hAnsi="宋体" w:cs="Arial"/>
          <w:b/>
          <w:szCs w:val="21"/>
        </w:rPr>
        <w:t>最长不超过</w:t>
      </w:r>
      <w:r>
        <w:rPr>
          <w:rFonts w:hAnsi="宋体" w:cs="Arial"/>
          <w:b/>
          <w:szCs w:val="21"/>
        </w:rPr>
        <w:t>180</w:t>
      </w:r>
      <w:r>
        <w:rPr>
          <w:rFonts w:hint="eastAsia" w:hAnsi="宋体" w:cs="Arial"/>
          <w:b/>
          <w:szCs w:val="21"/>
        </w:rPr>
        <w:t>天</w:t>
      </w:r>
      <w:r>
        <w:rPr>
          <w:rFonts w:hint="eastAsia" w:ascii="宋体" w:hAnsi="宋体" w:cs="宋体"/>
          <w:b/>
          <w:bCs/>
          <w:szCs w:val="21"/>
        </w:rPr>
        <w:t>。等待期内发生疾病，无论等待期内治疗还是等待期外治疗，保险人均不承担给付保险金责任。续保不受此限。</w:t>
      </w:r>
    </w:p>
    <w:p>
      <w:pPr>
        <w:pStyle w:val="19"/>
        <w:numPr>
          <w:ilvl w:val="255"/>
          <w:numId w:val="0"/>
        </w:numPr>
        <w:spacing w:line="360" w:lineRule="auto"/>
        <w:ind w:firstLine="422" w:firstLineChars="200"/>
        <w:rPr>
          <w:rFonts w:ascii="宋体" w:hAnsi="宋体" w:cs="宋体"/>
          <w:b/>
          <w:bCs/>
          <w:szCs w:val="21"/>
        </w:rPr>
      </w:pPr>
      <w:r>
        <w:rPr>
          <w:rFonts w:hint="eastAsia" w:ascii="宋体" w:hAnsi="宋体" w:cs="宋体"/>
          <w:b/>
          <w:szCs w:val="21"/>
        </w:rPr>
        <w:t>2、医院</w:t>
      </w:r>
      <w:r>
        <w:rPr>
          <w:rFonts w:hint="eastAsia" w:ascii="宋体" w:hAnsi="宋体" w:cs="宋体"/>
          <w:b/>
          <w:bCs/>
          <w:szCs w:val="21"/>
        </w:rPr>
        <w:t>：是指</w:t>
      </w:r>
      <w:bookmarkStart w:id="2" w:name="_Hlk31886067"/>
      <w:r>
        <w:rPr>
          <w:rFonts w:hint="eastAsia" w:ascii="宋体" w:hAnsi="宋体" w:cs="宋体"/>
          <w:b/>
          <w:bCs/>
          <w:szCs w:val="21"/>
        </w:rPr>
        <w:t>经中华人民共和国卫生部门审核认定的二级或二级以上的公立医院</w:t>
      </w:r>
      <w:bookmarkEnd w:id="2"/>
      <w:r>
        <w:rPr>
          <w:rFonts w:hint="eastAsia" w:ascii="宋体" w:hAnsi="宋体" w:cs="宋体"/>
          <w:b/>
          <w:bCs/>
          <w:szCs w:val="21"/>
        </w:rPr>
        <w:t>，且仅限于上述医院的普通部，不包括如下机构或医疗服务：</w:t>
      </w:r>
    </w:p>
    <w:p>
      <w:pPr>
        <w:pStyle w:val="19"/>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（1）特需医疗、外宾医疗、干部病房、联合病房、国际医疗中心、VIP部、联合医院、A级病房；</w:t>
      </w:r>
    </w:p>
    <w:p>
      <w:pPr>
        <w:pStyle w:val="19"/>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（2）诊所、康复中心、家庭病床、护理机构；</w:t>
      </w:r>
    </w:p>
    <w:p>
      <w:pPr>
        <w:pStyle w:val="19"/>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（3）休养、戒酒、戒毒中心。</w:t>
      </w:r>
    </w:p>
    <w:p>
      <w:pPr>
        <w:pStyle w:val="19"/>
        <w:spacing w:line="360" w:lineRule="auto"/>
        <w:ind w:left="0" w:leftChars="0"/>
        <w:rPr>
          <w:rFonts w:asciiTheme="minorEastAsia" w:hAnsiTheme="minorEastAsia" w:eastAsiaTheme="minorEastAsia" w:cstheme="minorEastAsia"/>
          <w:b/>
          <w:szCs w:val="21"/>
        </w:rPr>
      </w:pPr>
      <w:r>
        <w:rPr>
          <w:rFonts w:hint="eastAsia" w:asciiTheme="minorEastAsia" w:hAnsiTheme="minorEastAsia" w:eastAsiaTheme="minorEastAsia" w:cstheme="minorEastAsia"/>
          <w:kern w:val="0"/>
          <w:szCs w:val="21"/>
        </w:rPr>
        <w:t>该医院必须具有系统的、充分的诊断设备，全套外科手术设备及能够提供二十四小时的医疗与护理服务的能力或资质。</w:t>
      </w:r>
    </w:p>
    <w:p>
      <w:pPr>
        <w:pStyle w:val="19"/>
        <w:spacing w:line="360" w:lineRule="auto"/>
        <w:ind w:left="0" w:leftChars="0" w:firstLine="422"/>
        <w:rPr>
          <w:rFonts w:ascii="宋体" w:hAnsi="宋体" w:cs="宋体"/>
          <w:szCs w:val="21"/>
        </w:rPr>
      </w:pPr>
      <w:r>
        <w:rPr>
          <w:rFonts w:hint="eastAsia" w:ascii="宋体" w:hAnsi="宋体" w:cs="宋体"/>
          <w:b/>
          <w:bCs/>
          <w:szCs w:val="21"/>
        </w:rPr>
        <w:t>3、</w:t>
      </w:r>
      <w:r>
        <w:rPr>
          <w:rFonts w:hint="eastAsia" w:ascii="宋体" w:hAnsi="宋体" w:cs="宋体"/>
          <w:b/>
          <w:szCs w:val="21"/>
        </w:rPr>
        <w:t>专科医生：</w:t>
      </w:r>
      <w:r>
        <w:rPr>
          <w:rFonts w:hint="eastAsia" w:ascii="宋体" w:hAnsi="宋体" w:cs="宋体"/>
          <w:szCs w:val="21"/>
        </w:rPr>
        <w:t>专科医生应当同时满足以下四项资格条件，</w:t>
      </w:r>
    </w:p>
    <w:p>
      <w:pPr>
        <w:pStyle w:val="19"/>
        <w:spacing w:line="360" w:lineRule="auto"/>
        <w:ind w:left="0" w:leftChars="0"/>
        <w:rPr>
          <w:rFonts w:ascii="宋体" w:hAnsi="宋体" w:cs="宋体"/>
          <w:szCs w:val="21"/>
        </w:rPr>
      </w:pPr>
      <w:r>
        <w:rPr>
          <w:rFonts w:hint="eastAsia" w:ascii="宋体" w:hAnsi="宋体" w:cs="宋体"/>
          <w:szCs w:val="21"/>
        </w:rPr>
        <w:t>（1）具有有效的中华人民共和国《医师资格证书》；</w:t>
      </w:r>
    </w:p>
    <w:p>
      <w:pPr>
        <w:pStyle w:val="19"/>
        <w:spacing w:line="360" w:lineRule="auto"/>
        <w:ind w:left="0" w:leftChars="0"/>
        <w:rPr>
          <w:rFonts w:ascii="宋体" w:hAnsi="宋体" w:cs="宋体"/>
          <w:szCs w:val="21"/>
        </w:rPr>
      </w:pPr>
      <w:r>
        <w:rPr>
          <w:rFonts w:hint="eastAsia" w:ascii="宋体" w:hAnsi="宋体" w:cs="宋体"/>
          <w:szCs w:val="21"/>
        </w:rPr>
        <w:t>（2）具有有效的中华人民共和国《医师执业证书》，并按期到相关部门登记注册；</w:t>
      </w:r>
    </w:p>
    <w:p>
      <w:pPr>
        <w:pStyle w:val="19"/>
        <w:spacing w:line="360" w:lineRule="auto"/>
        <w:ind w:left="0" w:leftChars="0"/>
        <w:rPr>
          <w:rFonts w:ascii="宋体" w:hAnsi="宋体" w:cs="宋体"/>
          <w:szCs w:val="21"/>
        </w:rPr>
      </w:pPr>
      <w:r>
        <w:rPr>
          <w:rFonts w:hint="eastAsia" w:ascii="宋体" w:hAnsi="宋体" w:cs="宋体"/>
          <w:szCs w:val="21"/>
        </w:rPr>
        <w:t>（3）具有有效的中华人民共和国主治医师或主治医师以上职称的《医师职称证书》；</w:t>
      </w:r>
    </w:p>
    <w:p>
      <w:pPr>
        <w:pStyle w:val="19"/>
        <w:numPr>
          <w:ilvl w:val="255"/>
          <w:numId w:val="0"/>
        </w:numPr>
        <w:spacing w:line="360" w:lineRule="auto"/>
        <w:ind w:firstLine="420" w:firstLineChars="200"/>
        <w:rPr>
          <w:rFonts w:ascii="宋体" w:hAnsi="宋体" w:cs="宋体"/>
          <w:szCs w:val="21"/>
        </w:rPr>
      </w:pPr>
      <w:r>
        <w:rPr>
          <w:rFonts w:hint="eastAsia" w:ascii="宋体" w:hAnsi="宋体" w:cs="宋体"/>
          <w:szCs w:val="21"/>
        </w:rPr>
        <w:t>（4）在国家《医院分级管理标准》二级或二级以上医院的相应科室从事临床工作三年以上。</w:t>
      </w:r>
    </w:p>
    <w:p>
      <w:pPr>
        <w:pStyle w:val="19"/>
        <w:spacing w:line="360" w:lineRule="auto"/>
        <w:ind w:left="0" w:leftChars="0" w:firstLine="422"/>
        <w:rPr>
          <w:rFonts w:ascii="宋体" w:hAnsi="宋体" w:cs="宋体"/>
          <w:b/>
          <w:bCs/>
          <w:szCs w:val="21"/>
        </w:rPr>
      </w:pPr>
      <w:r>
        <w:rPr>
          <w:rFonts w:hint="eastAsia" w:ascii="宋体" w:hAnsi="宋体" w:cs="宋体"/>
          <w:b/>
          <w:bCs/>
          <w:szCs w:val="21"/>
        </w:rPr>
        <w:t>4、</w:t>
      </w:r>
      <w:r>
        <w:rPr>
          <w:rFonts w:asciiTheme="minorEastAsia" w:hAnsiTheme="minorEastAsia" w:eastAsiaTheme="minorEastAsia" w:cstheme="minorEastAsia"/>
          <w:b/>
          <w:bCs/>
          <w:szCs w:val="21"/>
        </w:rPr>
        <w:t>初次</w:t>
      </w:r>
      <w:r>
        <w:rPr>
          <w:rFonts w:hint="eastAsia" w:asciiTheme="minorEastAsia" w:hAnsiTheme="minorEastAsia" w:eastAsiaTheme="minorEastAsia" w:cstheme="minorEastAsia"/>
          <w:b/>
          <w:bCs/>
          <w:szCs w:val="21"/>
        </w:rPr>
        <w:t>确诊</w:t>
      </w:r>
      <w:r>
        <w:rPr>
          <w:rFonts w:asciiTheme="minorEastAsia" w:hAnsiTheme="minorEastAsia" w:eastAsiaTheme="minorEastAsia" w:cstheme="minorEastAsia"/>
          <w:b/>
          <w:bCs/>
          <w:szCs w:val="21"/>
        </w:rPr>
        <w:t>：指自被保险人出生之日起第一次经医院或指定医疗机构确诊患有某种疾病，而不是指自本附加合同生效之后第一次经医院或指定医疗机构确诊患有某种疾病</w:t>
      </w:r>
      <w:r>
        <w:rPr>
          <w:rFonts w:hint="eastAsia" w:ascii="宋体" w:hAnsi="宋体" w:cs="宋体"/>
          <w:b/>
          <w:bCs/>
          <w:szCs w:val="21"/>
        </w:rPr>
        <w:t>。</w:t>
      </w:r>
    </w:p>
    <w:p>
      <w:pPr>
        <w:pStyle w:val="20"/>
        <w:numPr>
          <w:ilvl w:val="255"/>
          <w:numId w:val="0"/>
        </w:numPr>
        <w:autoSpaceDE w:val="0"/>
        <w:autoSpaceDN w:val="0"/>
        <w:adjustRightInd w:val="0"/>
        <w:snapToGrid w:val="0"/>
        <w:spacing w:line="276" w:lineRule="auto"/>
        <w:ind w:left="420" w:leftChars="200"/>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5、恶性肿瘤</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kern w:val="0"/>
          <w:szCs w:val="21"/>
          <w:lang w:bidi="ar"/>
        </w:rPr>
        <w:t>指恶性细胞不受控制的进行性增长和扩散，浸润和破坏周围正常组织，可以经血管、淋巴管和体腔扩散转移到身体其他部位，病灶经</w:t>
      </w:r>
      <w:r>
        <w:rPr>
          <w:rFonts w:hint="eastAsia" w:asciiTheme="minorEastAsia" w:hAnsiTheme="minorEastAsia" w:cstheme="minorEastAsia"/>
          <w:b/>
          <w:bCs/>
          <w:kern w:val="0"/>
          <w:szCs w:val="21"/>
          <w:lang w:bidi="ar"/>
        </w:rPr>
        <w:t>组织病理学检查（</w:t>
      </w:r>
      <w:r>
        <w:rPr>
          <w:rFonts w:hint="eastAsia" w:asciiTheme="minorEastAsia" w:hAnsiTheme="minorEastAsia" w:cstheme="minorEastAsia"/>
          <w:b/>
          <w:bCs/>
          <w:szCs w:val="21"/>
        </w:rPr>
        <w:t>见</w:t>
      </w:r>
      <w:r>
        <w:rPr>
          <w:rFonts w:hint="eastAsia" w:asciiTheme="minorEastAsia" w:hAnsiTheme="minorEastAsia" w:cstheme="minorEastAsia"/>
          <w:b/>
          <w:bCs/>
          <w:kern w:val="0"/>
          <w:szCs w:val="21"/>
          <w:lang w:bidi="ar"/>
        </w:rPr>
        <w:t>释义17</w:t>
      </w:r>
      <w:r>
        <w:rPr>
          <w:rFonts w:asciiTheme="minorEastAsia" w:hAnsiTheme="minorEastAsia" w:cstheme="minorEastAsia"/>
          <w:b/>
          <w:bCs/>
          <w:kern w:val="0"/>
          <w:szCs w:val="21"/>
          <w:lang w:bidi="ar"/>
        </w:rPr>
        <w:t>）</w:t>
      </w:r>
      <w:r>
        <w:rPr>
          <w:rFonts w:hint="eastAsia" w:asciiTheme="minorEastAsia" w:hAnsiTheme="minorEastAsia" w:cstheme="minorEastAsia"/>
          <w:kern w:val="0"/>
          <w:szCs w:val="21"/>
          <w:lang w:bidi="ar"/>
        </w:rPr>
        <w:t>（涵盖骨髓病理学检查）结果明确诊断，临床诊断属于世界卫生组织（</w:t>
      </w:r>
      <w:r>
        <w:rPr>
          <w:rFonts w:asciiTheme="minorEastAsia" w:hAnsiTheme="minorEastAsia" w:cstheme="minorEastAsia"/>
          <w:kern w:val="0"/>
          <w:szCs w:val="21"/>
          <w:lang w:bidi="ar"/>
        </w:rPr>
        <w:t>WHO，World Health Organization）</w:t>
      </w:r>
      <w:r>
        <w:rPr>
          <w:rFonts w:asciiTheme="minorEastAsia" w:hAnsiTheme="minorEastAsia" w:cstheme="minorEastAsia"/>
          <w:b/>
          <w:kern w:val="0"/>
          <w:szCs w:val="21"/>
          <w:lang w:bidi="ar"/>
        </w:rPr>
        <w:t>《疾病和有关健康问题的国际统计分类》第十次修订版</w:t>
      </w:r>
      <w:r>
        <w:rPr>
          <w:rFonts w:hint="eastAsia" w:asciiTheme="minorEastAsia" w:hAnsiTheme="minorEastAsia" w:cstheme="minorEastAsia"/>
          <w:b/>
          <w:bCs/>
          <w:kern w:val="0"/>
          <w:szCs w:val="21"/>
          <w:lang w:bidi="ar"/>
        </w:rPr>
        <w:t>（</w:t>
      </w:r>
      <w:r>
        <w:rPr>
          <w:rFonts w:asciiTheme="minorEastAsia" w:hAnsiTheme="minorEastAsia" w:cstheme="minorEastAsia"/>
          <w:b/>
          <w:bCs/>
          <w:kern w:val="0"/>
          <w:szCs w:val="21"/>
          <w:lang w:bidi="ar"/>
        </w:rPr>
        <w:t>ICD-10）</w:t>
      </w:r>
      <w:r>
        <w:rPr>
          <w:rFonts w:hint="eastAsia" w:asciiTheme="minorEastAsia" w:hAnsiTheme="minorEastAsia" w:cstheme="minorEastAsia"/>
          <w:b/>
          <w:kern w:val="0"/>
          <w:szCs w:val="21"/>
          <w:lang w:bidi="ar"/>
        </w:rPr>
        <w:t>的恶性肿瘤类别及《国际疾病分类肿瘤学专辑》第三版</w:t>
      </w:r>
      <w:r>
        <w:rPr>
          <w:rFonts w:hint="eastAsia" w:asciiTheme="minorEastAsia" w:hAnsiTheme="minorEastAsia" w:cstheme="minorEastAsia"/>
          <w:b/>
          <w:bCs/>
          <w:kern w:val="0"/>
          <w:szCs w:val="21"/>
          <w:lang w:bidi="ar"/>
        </w:rPr>
        <w:t>（</w:t>
      </w:r>
      <w:r>
        <w:rPr>
          <w:rFonts w:asciiTheme="minorEastAsia" w:hAnsiTheme="minorEastAsia" w:cstheme="minorEastAsia"/>
          <w:b/>
          <w:bCs/>
          <w:kern w:val="0"/>
          <w:szCs w:val="21"/>
          <w:lang w:bidi="ar"/>
        </w:rPr>
        <w:t>ICD-O-3）</w:t>
      </w:r>
      <w:r>
        <w:rPr>
          <w:rFonts w:hint="eastAsia" w:asciiTheme="minorEastAsia" w:hAnsiTheme="minorEastAsia" w:cstheme="minorEastAsia"/>
          <w:b/>
          <w:kern w:val="0"/>
          <w:szCs w:val="21"/>
          <w:lang w:bidi="ar"/>
        </w:rPr>
        <w:t>的肿瘤形态学编码属于</w:t>
      </w:r>
      <w:r>
        <w:rPr>
          <w:rFonts w:asciiTheme="minorEastAsia" w:hAnsiTheme="minorEastAsia" w:cstheme="minorEastAsia"/>
          <w:b/>
          <w:kern w:val="0"/>
          <w:szCs w:val="21"/>
          <w:lang w:bidi="ar"/>
        </w:rPr>
        <w:t xml:space="preserve"> 3、6、9（恶性肿瘤）范畴的疾病</w:t>
      </w:r>
      <w:r>
        <w:rPr>
          <w:rFonts w:hint="eastAsia" w:asciiTheme="minorEastAsia" w:hAnsiTheme="minorEastAsia" w:cstheme="minorEastAsia"/>
          <w:b/>
          <w:bCs/>
          <w:kern w:val="0"/>
          <w:szCs w:val="21"/>
          <w:lang w:bidi="ar"/>
        </w:rPr>
        <w:t>（释义18</w:t>
      </w:r>
      <w:r>
        <w:rPr>
          <w:rFonts w:asciiTheme="minorEastAsia" w:hAnsiTheme="minorEastAsia" w:cstheme="minorEastAsia"/>
          <w:b/>
          <w:bCs/>
          <w:kern w:val="0"/>
          <w:szCs w:val="21"/>
          <w:lang w:bidi="ar"/>
        </w:rPr>
        <w:t>）</w:t>
      </w:r>
      <w:r>
        <w:rPr>
          <w:rFonts w:hint="eastAsia" w:asciiTheme="minorEastAsia" w:hAnsiTheme="minorEastAsia" w:cstheme="minorEastAsia"/>
          <w:b/>
          <w:bCs/>
          <w:kern w:val="0"/>
          <w:szCs w:val="21"/>
          <w:lang w:bidi="ar"/>
        </w:rPr>
        <w:t>，</w:t>
      </w:r>
      <w:r>
        <w:rPr>
          <w:rFonts w:asciiTheme="minorEastAsia" w:hAnsiTheme="minorEastAsia" w:cstheme="minorEastAsia"/>
          <w:b/>
          <w:bCs/>
          <w:kern w:val="0"/>
          <w:szCs w:val="21"/>
          <w:lang w:bidi="ar"/>
        </w:rPr>
        <w:t>其中包含</w:t>
      </w:r>
      <w:r>
        <w:rPr>
          <w:rFonts w:hint="eastAsia" w:asciiTheme="minorEastAsia" w:hAnsiTheme="minorEastAsia" w:cstheme="minorEastAsia"/>
          <w:b/>
          <w:bCs/>
          <w:kern w:val="0"/>
          <w:szCs w:val="21"/>
          <w:lang w:bidi="ar"/>
        </w:rPr>
        <w:t>：</w:t>
      </w:r>
      <w:r>
        <w:rPr>
          <w:rFonts w:asciiTheme="minorEastAsia" w:hAnsiTheme="minorEastAsia" w:cstheme="minorEastAsia"/>
          <w:kern w:val="0"/>
          <w:szCs w:val="21"/>
          <w:lang w:bidi="ar"/>
        </w:rPr>
        <w:t xml:space="preserve"> </w:t>
      </w:r>
    </w:p>
    <w:p>
      <w:pPr>
        <w:widowControl/>
        <w:spacing w:line="360" w:lineRule="auto"/>
        <w:ind w:firstLine="422" w:firstLineChars="200"/>
        <w:jc w:val="left"/>
        <w:rPr>
          <w:rFonts w:asciiTheme="minorEastAsia" w:hAnsiTheme="minorEastAsia" w:cstheme="minorEastAsia"/>
          <w:b/>
          <w:kern w:val="0"/>
          <w:szCs w:val="21"/>
          <w:lang w:bidi="ar"/>
        </w:rPr>
      </w:pPr>
      <w:r>
        <w:rPr>
          <w:rFonts w:hint="eastAsia" w:asciiTheme="minorEastAsia" w:hAnsiTheme="minorEastAsia" w:cstheme="minorEastAsia"/>
          <w:b/>
          <w:kern w:val="0"/>
          <w:szCs w:val="21"/>
          <w:lang w:bidi="ar"/>
        </w:rPr>
        <w:t>（</w:t>
      </w:r>
      <w:r>
        <w:rPr>
          <w:rFonts w:asciiTheme="minorEastAsia" w:hAnsiTheme="minorEastAsia" w:cstheme="minorEastAsia"/>
          <w:b/>
          <w:kern w:val="0"/>
          <w:szCs w:val="21"/>
          <w:lang w:bidi="ar"/>
        </w:rPr>
        <w:t>1）TNM 分期（释义</w:t>
      </w:r>
      <w:r>
        <w:rPr>
          <w:rFonts w:hint="eastAsia" w:asciiTheme="minorEastAsia" w:hAnsiTheme="minorEastAsia" w:cstheme="minorEastAsia"/>
          <w:b/>
          <w:kern w:val="0"/>
          <w:szCs w:val="21"/>
          <w:lang w:bidi="ar"/>
        </w:rPr>
        <w:t>19</w:t>
      </w:r>
      <w:r>
        <w:rPr>
          <w:rFonts w:asciiTheme="minorEastAsia" w:hAnsiTheme="minorEastAsia" w:cstheme="minorEastAsia"/>
          <w:b/>
          <w:kern w:val="0"/>
          <w:szCs w:val="21"/>
          <w:lang w:bidi="ar"/>
        </w:rPr>
        <w:t>）为Ⅰ期的甲状腺癌（释义</w:t>
      </w:r>
      <w:r>
        <w:rPr>
          <w:rFonts w:hint="eastAsia" w:asciiTheme="minorEastAsia" w:hAnsiTheme="minorEastAsia" w:cstheme="minorEastAsia"/>
          <w:b/>
          <w:kern w:val="0"/>
          <w:szCs w:val="21"/>
          <w:lang w:bidi="ar"/>
        </w:rPr>
        <w:t>20</w:t>
      </w:r>
      <w:r>
        <w:rPr>
          <w:rFonts w:asciiTheme="minorEastAsia" w:hAnsiTheme="minorEastAsia" w:cstheme="minorEastAsia"/>
          <w:b/>
          <w:kern w:val="0"/>
          <w:szCs w:val="21"/>
          <w:lang w:bidi="ar"/>
        </w:rPr>
        <w:t xml:space="preserve">）； </w:t>
      </w:r>
    </w:p>
    <w:p>
      <w:pPr>
        <w:widowControl/>
        <w:spacing w:line="360" w:lineRule="auto"/>
        <w:ind w:firstLine="422" w:firstLineChars="200"/>
        <w:jc w:val="left"/>
        <w:rPr>
          <w:rFonts w:asciiTheme="minorEastAsia" w:hAnsiTheme="minorEastAsia" w:cstheme="minorEastAsia"/>
          <w:b/>
          <w:kern w:val="0"/>
          <w:szCs w:val="21"/>
          <w:lang w:bidi="ar"/>
        </w:rPr>
      </w:pPr>
      <w:r>
        <w:rPr>
          <w:rFonts w:hint="eastAsia" w:asciiTheme="minorEastAsia" w:hAnsiTheme="minorEastAsia" w:cstheme="minorEastAsia"/>
          <w:b/>
          <w:kern w:val="0"/>
          <w:szCs w:val="21"/>
          <w:lang w:bidi="ar"/>
        </w:rPr>
        <w:t>（</w:t>
      </w:r>
      <w:r>
        <w:rPr>
          <w:rFonts w:asciiTheme="minorEastAsia" w:hAnsiTheme="minorEastAsia" w:cstheme="minorEastAsia"/>
          <w:b/>
          <w:kern w:val="0"/>
          <w:szCs w:val="21"/>
          <w:lang w:bidi="ar"/>
        </w:rPr>
        <w:t xml:space="preserve">2）TNM 分期为 T1N0M0期的前列腺癌； </w:t>
      </w:r>
    </w:p>
    <w:p>
      <w:pPr>
        <w:widowControl/>
        <w:spacing w:line="360" w:lineRule="auto"/>
        <w:ind w:firstLine="422" w:firstLineChars="200"/>
        <w:jc w:val="left"/>
        <w:rPr>
          <w:rFonts w:asciiTheme="minorEastAsia" w:hAnsiTheme="minorEastAsia" w:cstheme="minorEastAsia"/>
          <w:b/>
          <w:kern w:val="0"/>
          <w:szCs w:val="21"/>
          <w:lang w:bidi="ar"/>
        </w:rPr>
      </w:pPr>
      <w:r>
        <w:rPr>
          <w:rFonts w:hint="eastAsia" w:asciiTheme="minorEastAsia" w:hAnsiTheme="minorEastAsia" w:cstheme="minorEastAsia"/>
          <w:b/>
          <w:kern w:val="0"/>
          <w:szCs w:val="21"/>
          <w:lang w:bidi="ar"/>
        </w:rPr>
        <w:t>（</w:t>
      </w:r>
      <w:r>
        <w:rPr>
          <w:rFonts w:asciiTheme="minorEastAsia" w:hAnsiTheme="minorEastAsia" w:cstheme="minorEastAsia"/>
          <w:b/>
          <w:kern w:val="0"/>
          <w:szCs w:val="21"/>
          <w:lang w:bidi="ar"/>
        </w:rPr>
        <w:t>3）黑色素瘤以外的未发生淋巴结和远处转移的皮肤恶性肿瘤；</w:t>
      </w:r>
    </w:p>
    <w:p>
      <w:pPr>
        <w:widowControl/>
        <w:spacing w:line="360" w:lineRule="auto"/>
        <w:ind w:firstLine="422" w:firstLineChars="200"/>
        <w:jc w:val="left"/>
        <w:rPr>
          <w:rFonts w:asciiTheme="minorEastAsia" w:hAnsiTheme="minorEastAsia" w:cstheme="minorEastAsia"/>
          <w:b/>
          <w:kern w:val="0"/>
          <w:szCs w:val="21"/>
          <w:lang w:bidi="ar"/>
        </w:rPr>
      </w:pPr>
      <w:r>
        <w:rPr>
          <w:rFonts w:hint="eastAsia" w:asciiTheme="minorEastAsia" w:hAnsiTheme="minorEastAsia" w:cstheme="minorEastAsia"/>
          <w:b/>
          <w:kern w:val="0"/>
          <w:szCs w:val="21"/>
          <w:lang w:bidi="ar"/>
        </w:rPr>
        <w:t>（</w:t>
      </w:r>
      <w:r>
        <w:rPr>
          <w:rFonts w:asciiTheme="minorEastAsia" w:hAnsiTheme="minorEastAsia" w:cstheme="minorEastAsia"/>
          <w:b/>
          <w:kern w:val="0"/>
          <w:szCs w:val="21"/>
          <w:lang w:bidi="ar"/>
        </w:rPr>
        <w:t xml:space="preserve">4）相当于 Binet 分期方案 A </w:t>
      </w:r>
      <w:r>
        <w:rPr>
          <w:rFonts w:hint="eastAsia" w:asciiTheme="minorEastAsia" w:hAnsiTheme="minorEastAsia" w:cstheme="minorEastAsia"/>
          <w:b/>
          <w:kern w:val="0"/>
          <w:szCs w:val="21"/>
          <w:lang w:bidi="ar"/>
        </w:rPr>
        <w:t>期程度的慢性淋巴细胞白血病；</w:t>
      </w:r>
      <w:r>
        <w:rPr>
          <w:rFonts w:asciiTheme="minorEastAsia" w:hAnsiTheme="minorEastAsia" w:cstheme="minorEastAsia"/>
          <w:b/>
          <w:kern w:val="0"/>
          <w:szCs w:val="21"/>
          <w:lang w:bidi="ar"/>
        </w:rPr>
        <w:t xml:space="preserve"> </w:t>
      </w:r>
    </w:p>
    <w:p>
      <w:pPr>
        <w:widowControl/>
        <w:spacing w:line="360" w:lineRule="auto"/>
        <w:ind w:firstLine="422" w:firstLineChars="200"/>
        <w:jc w:val="left"/>
        <w:rPr>
          <w:rFonts w:asciiTheme="minorEastAsia" w:hAnsiTheme="minorEastAsia" w:cstheme="minorEastAsia"/>
          <w:b/>
          <w:kern w:val="0"/>
          <w:szCs w:val="21"/>
          <w:lang w:bidi="ar"/>
        </w:rPr>
      </w:pPr>
      <w:r>
        <w:rPr>
          <w:rFonts w:hint="eastAsia" w:asciiTheme="minorEastAsia" w:hAnsiTheme="minorEastAsia" w:cstheme="minorEastAsia"/>
          <w:b/>
          <w:kern w:val="0"/>
          <w:szCs w:val="21"/>
          <w:lang w:bidi="ar"/>
        </w:rPr>
        <w:t>（</w:t>
      </w:r>
      <w:r>
        <w:rPr>
          <w:rFonts w:asciiTheme="minorEastAsia" w:hAnsiTheme="minorEastAsia" w:cstheme="minorEastAsia"/>
          <w:b/>
          <w:kern w:val="0"/>
          <w:szCs w:val="21"/>
          <w:lang w:bidi="ar"/>
        </w:rPr>
        <w:t xml:space="preserve">5）相当于 Ann Arbor </w:t>
      </w:r>
      <w:r>
        <w:rPr>
          <w:rFonts w:hint="eastAsia" w:asciiTheme="minorEastAsia" w:hAnsiTheme="minorEastAsia" w:cstheme="minorEastAsia"/>
          <w:b/>
          <w:kern w:val="0"/>
          <w:szCs w:val="21"/>
          <w:lang w:bidi="ar"/>
        </w:rPr>
        <w:t>分期方案Ⅰ期程度的何杰金氏病；</w:t>
      </w:r>
      <w:r>
        <w:rPr>
          <w:rFonts w:asciiTheme="minorEastAsia" w:hAnsiTheme="minorEastAsia" w:cstheme="minorEastAsia"/>
          <w:b/>
          <w:kern w:val="0"/>
          <w:szCs w:val="21"/>
          <w:lang w:bidi="ar"/>
        </w:rPr>
        <w:t xml:space="preserve"> </w:t>
      </w:r>
    </w:p>
    <w:p>
      <w:pPr>
        <w:widowControl/>
        <w:spacing w:line="360" w:lineRule="auto"/>
        <w:ind w:firstLine="422" w:firstLineChars="200"/>
        <w:jc w:val="left"/>
        <w:rPr>
          <w:rFonts w:asciiTheme="minorEastAsia" w:hAnsiTheme="minorEastAsia" w:cstheme="minorEastAsia"/>
          <w:b/>
          <w:kern w:val="0"/>
          <w:szCs w:val="21"/>
          <w:lang w:bidi="ar"/>
        </w:rPr>
      </w:pPr>
      <w:r>
        <w:rPr>
          <w:rFonts w:hint="eastAsia" w:asciiTheme="minorEastAsia" w:hAnsiTheme="minorEastAsia" w:cstheme="minorEastAsia"/>
          <w:b/>
          <w:kern w:val="0"/>
          <w:szCs w:val="21"/>
          <w:lang w:bidi="ar"/>
        </w:rPr>
        <w:t>（</w:t>
      </w:r>
      <w:r>
        <w:rPr>
          <w:rFonts w:asciiTheme="minorEastAsia" w:hAnsiTheme="minorEastAsia" w:cstheme="minorEastAsia"/>
          <w:b/>
          <w:kern w:val="0"/>
          <w:szCs w:val="21"/>
          <w:lang w:bidi="ar"/>
        </w:rPr>
        <w:t xml:space="preserve">6）未发生淋巴结和远处转移且 WHO </w:t>
      </w:r>
      <w:r>
        <w:rPr>
          <w:rFonts w:hint="eastAsia" w:asciiTheme="minorEastAsia" w:hAnsiTheme="minorEastAsia" w:cstheme="minorEastAsia"/>
          <w:b/>
          <w:kern w:val="0"/>
          <w:szCs w:val="21"/>
          <w:lang w:bidi="ar"/>
        </w:rPr>
        <w:t>分级为</w:t>
      </w:r>
      <w:r>
        <w:rPr>
          <w:rFonts w:asciiTheme="minorEastAsia" w:hAnsiTheme="minorEastAsia" w:cstheme="minorEastAsia"/>
          <w:b/>
          <w:kern w:val="0"/>
          <w:szCs w:val="21"/>
          <w:lang w:bidi="ar"/>
        </w:rPr>
        <w:t xml:space="preserve"> G1 </w:t>
      </w:r>
      <w:r>
        <w:rPr>
          <w:rFonts w:hint="eastAsia" w:asciiTheme="minorEastAsia" w:hAnsiTheme="minorEastAsia" w:cstheme="minorEastAsia"/>
          <w:b/>
          <w:kern w:val="0"/>
          <w:szCs w:val="21"/>
          <w:lang w:bidi="ar"/>
        </w:rPr>
        <w:t>级别（核分裂像</w:t>
      </w:r>
      <w:r>
        <w:rPr>
          <w:rFonts w:asciiTheme="minorEastAsia" w:hAnsiTheme="minorEastAsia" w:cstheme="minorEastAsia"/>
          <w:b/>
          <w:kern w:val="0"/>
          <w:szCs w:val="21"/>
          <w:lang w:bidi="ar"/>
        </w:rPr>
        <w:t xml:space="preserve">&lt;10/50 HPF </w:t>
      </w:r>
      <w:r>
        <w:rPr>
          <w:rFonts w:hint="eastAsia" w:asciiTheme="minorEastAsia" w:hAnsiTheme="minorEastAsia" w:cstheme="minorEastAsia"/>
          <w:b/>
          <w:kern w:val="0"/>
          <w:szCs w:val="21"/>
          <w:lang w:bidi="ar"/>
        </w:rPr>
        <w:t>和</w:t>
      </w:r>
      <w:r>
        <w:rPr>
          <w:rFonts w:asciiTheme="minorEastAsia" w:hAnsiTheme="minorEastAsia" w:cstheme="minorEastAsia"/>
          <w:b/>
          <w:kern w:val="0"/>
          <w:szCs w:val="21"/>
          <w:lang w:bidi="ar"/>
        </w:rPr>
        <w:t xml:space="preserve"> ki-67≤2%）的神经内分泌肿瘤。</w:t>
      </w:r>
    </w:p>
    <w:p>
      <w:pPr>
        <w:widowControl/>
        <w:spacing w:line="360" w:lineRule="auto"/>
        <w:ind w:firstLine="422" w:firstLineChars="200"/>
        <w:jc w:val="left"/>
        <w:rPr>
          <w:rFonts w:asciiTheme="minorEastAsia" w:hAnsiTheme="minorEastAsia" w:cstheme="minorEastAsia"/>
          <w:szCs w:val="21"/>
        </w:rPr>
      </w:pPr>
      <w:r>
        <w:rPr>
          <w:rFonts w:hint="eastAsia" w:asciiTheme="minorEastAsia" w:hAnsiTheme="minorEastAsia" w:cstheme="minorEastAsia"/>
          <w:b/>
          <w:kern w:val="0"/>
          <w:szCs w:val="21"/>
          <w:lang w:bidi="ar"/>
        </w:rPr>
        <w:t>下列疾病不在保障范围内：</w:t>
      </w:r>
      <w:r>
        <w:rPr>
          <w:rFonts w:asciiTheme="minorEastAsia" w:hAnsiTheme="minorEastAsia" w:cstheme="minorEastAsia"/>
          <w:b/>
          <w:kern w:val="0"/>
          <w:szCs w:val="21"/>
          <w:lang w:bidi="ar"/>
        </w:rPr>
        <w:t xml:space="preserve"> </w:t>
      </w:r>
    </w:p>
    <w:p>
      <w:pPr>
        <w:widowControl/>
        <w:spacing w:line="360" w:lineRule="auto"/>
        <w:ind w:firstLine="422" w:firstLineChars="200"/>
        <w:jc w:val="left"/>
        <w:rPr>
          <w:rFonts w:asciiTheme="minorEastAsia" w:hAnsiTheme="minorEastAsia" w:cstheme="minorEastAsia"/>
          <w:szCs w:val="21"/>
        </w:rPr>
      </w:pPr>
      <w:r>
        <w:rPr>
          <w:rFonts w:asciiTheme="minorEastAsia" w:hAnsiTheme="minorEastAsia" w:cstheme="minorEastAsia"/>
          <w:b/>
          <w:kern w:val="0"/>
          <w:szCs w:val="21"/>
          <w:lang w:bidi="ar"/>
        </w:rPr>
        <w:t xml:space="preserve">ICD-O-3 肿瘤形态学编码属于 0（良性肿瘤）、1（动态未定性肿瘤）、2（原位癌和非侵袭性癌）范畴的疾病，如： </w:t>
      </w:r>
    </w:p>
    <w:p>
      <w:pPr>
        <w:widowControl/>
        <w:spacing w:line="360" w:lineRule="auto"/>
        <w:ind w:firstLine="422" w:firstLineChars="200"/>
        <w:jc w:val="left"/>
        <w:rPr>
          <w:rFonts w:asciiTheme="minorEastAsia" w:hAnsiTheme="minorEastAsia" w:cstheme="minorEastAsia"/>
          <w:b/>
          <w:kern w:val="0"/>
          <w:szCs w:val="21"/>
          <w:lang w:bidi="ar"/>
        </w:rPr>
      </w:pPr>
      <w:r>
        <w:rPr>
          <w:rFonts w:asciiTheme="minorEastAsia" w:hAnsiTheme="minorEastAsia" w:cstheme="minorEastAsia"/>
          <w:b/>
          <w:kern w:val="0"/>
          <w:szCs w:val="21"/>
          <w:lang w:bidi="ar"/>
        </w:rPr>
        <w:t xml:space="preserve">a.原位癌，癌前病变，非浸润性癌，非侵袭性癌，肿瘤细胞未侵犯基底层，上皮内瘤变，细胞不典型性增生等； </w:t>
      </w:r>
    </w:p>
    <w:p>
      <w:pPr>
        <w:widowControl/>
        <w:spacing w:line="360" w:lineRule="auto"/>
        <w:ind w:firstLine="422" w:firstLineChars="200"/>
        <w:jc w:val="left"/>
        <w:rPr>
          <w:rFonts w:asciiTheme="minorEastAsia" w:hAnsiTheme="minorEastAsia" w:cstheme="minorEastAsia"/>
          <w:b/>
          <w:kern w:val="0"/>
          <w:szCs w:val="21"/>
          <w:lang w:bidi="ar"/>
        </w:rPr>
      </w:pPr>
      <w:r>
        <w:rPr>
          <w:rFonts w:asciiTheme="minorEastAsia" w:hAnsiTheme="minorEastAsia" w:cstheme="minorEastAsia"/>
          <w:b/>
          <w:kern w:val="0"/>
          <w:szCs w:val="21"/>
          <w:lang w:bidi="ar"/>
        </w:rPr>
        <w:t xml:space="preserve">b.交界性肿瘤，交界恶性肿瘤，肿瘤低度恶性潜能，潜在低度恶性肿瘤等； </w:t>
      </w:r>
    </w:p>
    <w:p>
      <w:pPr>
        <w:pStyle w:val="19"/>
        <w:spacing w:line="360" w:lineRule="auto"/>
        <w:ind w:left="0" w:leftChars="0" w:firstLine="422" w:firstLineChars="0"/>
        <w:rPr>
          <w:rFonts w:ascii="宋体" w:hAnsi="宋体" w:cs="宋体"/>
          <w:bCs/>
          <w:szCs w:val="21"/>
        </w:rPr>
      </w:pPr>
      <w:r>
        <w:rPr>
          <w:rFonts w:hint="eastAsia" w:ascii="宋体" w:hAnsi="宋体" w:cs="宋体"/>
          <w:b/>
          <w:bCs/>
          <w:szCs w:val="21"/>
        </w:rPr>
        <w:t>6、指定药店：</w:t>
      </w:r>
      <w:r>
        <w:rPr>
          <w:rFonts w:hint="eastAsia" w:ascii="宋体" w:hAnsi="宋体" w:cs="宋体"/>
          <w:bCs/>
          <w:szCs w:val="21"/>
        </w:rPr>
        <w:t>指保险人授权的第三方服务商提供的药店名单，该药店名单以保险人在官方正式渠道（包括但不限于官网、官微）的通知为准。保险人保留对上述指定药店名单做出调整的权利。保险人指定的药店需同时满足以下条件：</w:t>
      </w:r>
    </w:p>
    <w:p>
      <w:pPr>
        <w:pStyle w:val="19"/>
        <w:spacing w:line="360" w:lineRule="auto"/>
        <w:ind w:left="0" w:leftChars="0" w:firstLineChars="0"/>
        <w:rPr>
          <w:rFonts w:ascii="宋体" w:hAnsi="宋体" w:cs="宋体"/>
          <w:bCs/>
          <w:szCs w:val="21"/>
        </w:rPr>
      </w:pPr>
      <w:r>
        <w:rPr>
          <w:rFonts w:hint="eastAsia" w:ascii="宋体" w:hAnsi="宋体" w:cs="宋体"/>
          <w:bCs/>
          <w:szCs w:val="21"/>
        </w:rPr>
        <w:t>（1）取得国家药品经营许可证、GSP认证；</w:t>
      </w:r>
    </w:p>
    <w:p>
      <w:pPr>
        <w:pStyle w:val="19"/>
        <w:spacing w:line="360" w:lineRule="auto"/>
        <w:ind w:left="0" w:leftChars="0" w:firstLineChars="0"/>
        <w:rPr>
          <w:rFonts w:ascii="宋体" w:hAnsi="宋体" w:cs="宋体"/>
          <w:bCs/>
          <w:szCs w:val="21"/>
        </w:rPr>
      </w:pPr>
      <w:r>
        <w:rPr>
          <w:rFonts w:hint="eastAsia" w:ascii="宋体" w:hAnsi="宋体" w:cs="宋体"/>
          <w:bCs/>
          <w:szCs w:val="21"/>
        </w:rPr>
        <w:t>（2）具有完善的冷链药品送达能力；</w:t>
      </w:r>
    </w:p>
    <w:p>
      <w:pPr>
        <w:pStyle w:val="19"/>
        <w:spacing w:line="360" w:lineRule="auto"/>
        <w:ind w:left="0" w:leftChars="0" w:firstLineChars="0"/>
        <w:rPr>
          <w:rFonts w:ascii="宋体" w:hAnsi="宋体" w:cs="宋体"/>
          <w:bCs/>
          <w:szCs w:val="21"/>
        </w:rPr>
      </w:pPr>
      <w:r>
        <w:rPr>
          <w:rFonts w:hint="eastAsia" w:ascii="宋体" w:hAnsi="宋体" w:cs="宋体"/>
          <w:bCs/>
          <w:szCs w:val="21"/>
        </w:rPr>
        <w:t>（3）该药店内具有医师、执业药师等专业人员提供服务。</w:t>
      </w:r>
    </w:p>
    <w:p>
      <w:pPr>
        <w:pStyle w:val="19"/>
        <w:spacing w:line="360" w:lineRule="auto"/>
        <w:ind w:left="0" w:leftChars="0" w:firstLine="422" w:firstLineChars="0"/>
        <w:rPr>
          <w:rFonts w:ascii="宋体" w:hAnsi="宋体" w:cs="宋体"/>
          <w:bCs/>
          <w:szCs w:val="21"/>
        </w:rPr>
      </w:pPr>
      <w:r>
        <w:rPr>
          <w:rFonts w:hint="eastAsia" w:ascii="宋体" w:hAnsi="宋体" w:cs="宋体"/>
          <w:b/>
          <w:bCs/>
          <w:szCs w:val="21"/>
        </w:rPr>
        <w:t>7、特定药品：</w:t>
      </w:r>
      <w:r>
        <w:rPr>
          <w:rFonts w:hint="eastAsia" w:ascii="宋体" w:hAnsi="宋体" w:cs="宋体"/>
          <w:bCs/>
          <w:szCs w:val="21"/>
        </w:rPr>
        <w:t>指本附加合同到期日前在中国国家药品监督管理局批准并已在中国上市的靶向药物和免疫治疗药物。药品的适应症以中国国家药品监督管理局批准的药品说明书为准。</w:t>
      </w:r>
    </w:p>
    <w:p>
      <w:pPr>
        <w:pStyle w:val="19"/>
        <w:spacing w:line="360" w:lineRule="auto"/>
        <w:ind w:left="0" w:leftChars="0" w:firstLine="422" w:firstLineChars="0"/>
        <w:rPr>
          <w:rFonts w:ascii="宋体" w:hAnsi="宋体" w:cs="宋体"/>
          <w:bCs/>
          <w:szCs w:val="21"/>
        </w:rPr>
      </w:pPr>
      <w:r>
        <w:rPr>
          <w:rFonts w:hint="eastAsia" w:ascii="宋体" w:hAnsi="宋体" w:cs="宋体"/>
          <w:b/>
          <w:bCs/>
          <w:szCs w:val="21"/>
        </w:rPr>
        <w:t>8、靶向药物：</w:t>
      </w:r>
      <w:r>
        <w:rPr>
          <w:rFonts w:hint="eastAsia" w:ascii="宋体" w:hAnsi="宋体" w:cs="宋体"/>
          <w:bCs/>
          <w:szCs w:val="21"/>
        </w:rPr>
        <w:t>指被赋予了靶向能力的药物或其制剂。其目的是使药物或其载体能瞄准特定的病变部位，并在目标部位蓄积或释放有效成分。靶向制剂可以使药物在目标局部形成相对较高的浓度，从而在提高药效的同时抑制毒副作用，减少对正常组织、细胞的伤害。</w:t>
      </w:r>
    </w:p>
    <w:p>
      <w:pPr>
        <w:pStyle w:val="19"/>
        <w:spacing w:line="360" w:lineRule="auto"/>
        <w:ind w:left="0" w:leftChars="0" w:firstLine="422" w:firstLineChars="0"/>
        <w:rPr>
          <w:rFonts w:ascii="宋体" w:hAnsi="宋体" w:cs="宋体"/>
          <w:bCs/>
          <w:szCs w:val="21"/>
        </w:rPr>
      </w:pPr>
      <w:r>
        <w:rPr>
          <w:rFonts w:hint="eastAsia" w:ascii="宋体" w:hAnsi="宋体" w:cs="宋体"/>
          <w:b/>
          <w:bCs/>
          <w:szCs w:val="21"/>
        </w:rPr>
        <w:t>9、免疫治疗药物：</w:t>
      </w:r>
      <w:r>
        <w:rPr>
          <w:rFonts w:hint="eastAsia" w:ascii="宋体" w:hAnsi="宋体" w:cs="宋体"/>
          <w:bCs/>
          <w:szCs w:val="21"/>
        </w:rPr>
        <w:t>指通过重新启动并维持肿瘤-免疫循环，恢复机体正常的抗肿瘤免疫反应，从而控制与清除肿瘤的药物。</w:t>
      </w:r>
    </w:p>
    <w:p>
      <w:pPr>
        <w:pStyle w:val="19"/>
        <w:spacing w:line="360" w:lineRule="auto"/>
        <w:ind w:left="0" w:leftChars="0" w:firstLineChars="0"/>
        <w:rPr>
          <w:rFonts w:ascii="宋体" w:hAnsi="宋体" w:cs="宋体"/>
          <w:b/>
          <w:bCs/>
          <w:szCs w:val="21"/>
        </w:rPr>
      </w:pPr>
      <w:r>
        <w:rPr>
          <w:rFonts w:hint="eastAsia" w:ascii="宋体" w:hAnsi="宋体" w:cs="宋体"/>
          <w:b/>
          <w:bCs/>
          <w:szCs w:val="21"/>
        </w:rPr>
        <w:t>10、处方：</w:t>
      </w:r>
      <w:r>
        <w:rPr>
          <w:rFonts w:hint="eastAsia" w:ascii="宋体" w:hAnsi="宋体" w:cs="宋体"/>
          <w:bCs/>
          <w:szCs w:val="21"/>
        </w:rPr>
        <w:t>指由注册的执业医师和在诊疗活动中为患者开具的、由取得药学专业技术职务任职资格的药学专业技术人员审核、调配、核对，并作为患者用药凭证的医疗文书。处方包括医疗机构病区用药医嘱单。</w:t>
      </w:r>
    </w:p>
    <w:p>
      <w:pPr>
        <w:pStyle w:val="19"/>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11、约定的药品清单：</w:t>
      </w:r>
      <w:r>
        <w:rPr>
          <w:rFonts w:hint="eastAsia" w:ascii="宋体" w:hAnsi="宋体" w:cs="宋体"/>
          <w:szCs w:val="21"/>
        </w:rPr>
        <w:t>保险人在承保时与投保人约定的属于保险责任的符合保险保障计划的药品清单。</w:t>
      </w:r>
      <w:r>
        <w:rPr>
          <w:rFonts w:hint="eastAsia" w:ascii="宋体" w:hAnsi="宋体" w:cs="宋体"/>
          <w:b/>
          <w:bCs/>
          <w:szCs w:val="21"/>
        </w:rPr>
        <w:t>具体药品清单以保险人在官方正式渠道（包括但不限于官网、官微）的通知为准，保险人保留对药品清单做出调整的权利。</w:t>
      </w:r>
    </w:p>
    <w:p>
      <w:pPr>
        <w:pStyle w:val="19"/>
        <w:numPr>
          <w:ilvl w:val="255"/>
          <w:numId w:val="0"/>
        </w:numPr>
        <w:spacing w:line="360" w:lineRule="auto"/>
        <w:ind w:firstLine="422" w:firstLineChars="200"/>
        <w:rPr>
          <w:rFonts w:ascii="宋体" w:hAnsi="宋体" w:cs="宋体"/>
          <w:b/>
          <w:bCs/>
          <w:szCs w:val="21"/>
        </w:rPr>
      </w:pPr>
      <w:r>
        <w:rPr>
          <w:rFonts w:ascii="宋体" w:hAnsi="宋体" w:cs="宋体"/>
          <w:b/>
          <w:bCs/>
          <w:szCs w:val="21"/>
        </w:rPr>
        <w:t>12、</w:t>
      </w:r>
      <w:r>
        <w:rPr>
          <w:rFonts w:hint="eastAsia" w:ascii="宋体" w:hAnsi="宋体" w:cs="宋体"/>
          <w:b/>
          <w:bCs/>
          <w:szCs w:val="21"/>
        </w:rPr>
        <w:t>海南博鳌乐城国际医疗旅游先行区特定医疗机构：</w:t>
      </w:r>
      <w:r>
        <w:rPr>
          <w:rFonts w:hint="eastAsia" w:ascii="宋体" w:hAnsi="宋体" w:cs="宋体"/>
          <w:szCs w:val="21"/>
        </w:rPr>
        <w:t>保险人网站公布的位于海南博鳌乐城国际医疗旅游先行区的医疗机构，其具体名单以保险人网站的最新公布信息为准，被保险人还可以通过指定的服务热线进行查询。</w:t>
      </w:r>
    </w:p>
    <w:p>
      <w:pPr>
        <w:pStyle w:val="19"/>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海南博鳌乐城国际医疗旅游先行区经中华人民共和国国务院批复（《关于同意设立海南博鳌乐城国际医疗旅游先行区的批复》（国函〔</w:t>
      </w:r>
      <w:r>
        <w:rPr>
          <w:rFonts w:ascii="宋体" w:hAnsi="宋体" w:cs="宋体"/>
          <w:b/>
          <w:bCs/>
          <w:szCs w:val="21"/>
        </w:rPr>
        <w:t>2013〕33号））设立</w:t>
      </w:r>
      <w:r>
        <w:rPr>
          <w:rFonts w:hint="eastAsia" w:ascii="宋体" w:hAnsi="宋体" w:cs="宋体"/>
          <w:b/>
          <w:bCs/>
          <w:szCs w:val="21"/>
        </w:rPr>
        <w:t>。</w:t>
      </w:r>
    </w:p>
    <w:p>
      <w:pPr>
        <w:pStyle w:val="19"/>
        <w:numPr>
          <w:ilvl w:val="255"/>
          <w:numId w:val="0"/>
        </w:numPr>
        <w:spacing w:line="360" w:lineRule="auto"/>
        <w:ind w:firstLine="422" w:firstLineChars="200"/>
        <w:rPr>
          <w:rFonts w:ascii="宋体" w:hAnsi="宋体" w:cs="宋体"/>
          <w:bCs/>
          <w:szCs w:val="21"/>
        </w:rPr>
      </w:pPr>
      <w:r>
        <w:rPr>
          <w:rFonts w:hint="eastAsia" w:asciiTheme="minorEastAsia" w:hAnsiTheme="minorEastAsia" w:eastAsiaTheme="minorEastAsia" w:cstheme="minorEastAsia"/>
          <w:b/>
          <w:szCs w:val="21"/>
        </w:rPr>
        <w:t>13、临床急需进口药品清单：</w:t>
      </w:r>
      <w:r>
        <w:rPr>
          <w:rFonts w:hint="eastAsia" w:asciiTheme="minorEastAsia" w:hAnsiTheme="minorEastAsia" w:eastAsiaTheme="minorEastAsia" w:cstheme="minorEastAsia"/>
          <w:szCs w:val="21"/>
        </w:rPr>
        <w:t>保险人将根据临床急需进口药品的临床应用发展，跟踪分析并适时更新和公布《保险人指定的临床急需进口药品清单》，该药品清单以保险人网站的最新公布信息为准，被保险人也可以通过指定的服务热线进行查询。</w:t>
      </w:r>
    </w:p>
    <w:p>
      <w:pPr>
        <w:spacing w:line="360" w:lineRule="auto"/>
        <w:ind w:firstLine="422" w:firstLineChars="200"/>
        <w:rPr>
          <w:rFonts w:asciiTheme="minorEastAsia" w:hAnsiTheme="minorEastAsia" w:cstheme="minorEastAsia"/>
          <w:szCs w:val="21"/>
        </w:rPr>
      </w:pPr>
      <w:r>
        <w:rPr>
          <w:rFonts w:ascii="宋体" w:hAnsi="宋体" w:eastAsia="宋体" w:cs="宋体"/>
          <w:b/>
          <w:bCs/>
          <w:szCs w:val="21"/>
        </w:rPr>
        <w:t>14</w:t>
      </w:r>
      <w:r>
        <w:rPr>
          <w:rFonts w:hint="eastAsia" w:ascii="宋体" w:hAnsi="宋体" w:eastAsia="宋体" w:cs="宋体"/>
          <w:b/>
          <w:bCs/>
          <w:szCs w:val="21"/>
        </w:rPr>
        <w:t>、实体瘤治疗疗效评价标准</w:t>
      </w:r>
      <w:r>
        <w:rPr>
          <w:rFonts w:hint="eastAsia" w:ascii="宋体" w:hAnsi="宋体" w:cs="宋体"/>
          <w:b/>
          <w:bCs/>
          <w:szCs w:val="21"/>
        </w:rPr>
        <w:t>：</w:t>
      </w:r>
      <w:r>
        <w:rPr>
          <w:rFonts w:hint="eastAsia" w:asciiTheme="minorEastAsia" w:hAnsiTheme="minorEastAsia" w:cstheme="minorEastAsia"/>
          <w:szCs w:val="21"/>
        </w:rPr>
        <w:t>指以下两种情况之一：</w:t>
      </w:r>
    </w:p>
    <w:p>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实体肿瘤病灶按照</w:t>
      </w:r>
      <w:r>
        <w:rPr>
          <w:rFonts w:hint="eastAsia" w:asciiTheme="minorEastAsia" w:hAnsiTheme="minorEastAsia" w:cstheme="minorEastAsia"/>
          <w:b/>
          <w:bCs/>
          <w:szCs w:val="21"/>
        </w:rPr>
        <w:t>RECIST（实体瘤治疗疗效评价标准）（见释义21）</w:t>
      </w:r>
      <w:r>
        <w:rPr>
          <w:rFonts w:hint="eastAsia" w:asciiTheme="minorEastAsia" w:hAnsiTheme="minorEastAsia" w:cstheme="minorEastAsia"/>
          <w:szCs w:val="21"/>
        </w:rPr>
        <w:t>出现疾病进展，即定义为耐药。</w:t>
      </w:r>
    </w:p>
    <w:p>
      <w:p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非实体肿瘤（包含白血病、多发性骨髓瘤、骨髓纤维化、淋巴瘤等血液系统恶性肿瘤）在临床上常无明确的肿块或者肿块较小难以发现，经规范治疗后，按</w:t>
      </w:r>
      <w:r>
        <w:rPr>
          <w:rFonts w:hint="eastAsia" w:asciiTheme="minorEastAsia" w:hAnsiTheme="minorEastAsia" w:cstheme="minorEastAsia"/>
          <w:b/>
          <w:bCs/>
          <w:szCs w:val="21"/>
        </w:rPr>
        <w:t>相关专业机构（见释义22）</w:t>
      </w:r>
      <w:r>
        <w:rPr>
          <w:rFonts w:hint="eastAsia" w:asciiTheme="minorEastAsia" w:hAnsiTheme="minorEastAsia" w:cstheme="minorEastAsia"/>
          <w:szCs w:val="21"/>
        </w:rPr>
        <w:t>的指南规范，通过骨髓形态学、流式细胞仪、特定基因检测等结果进行综合评价，得出疾病进展的结论，即定义为耐药。</w:t>
      </w:r>
    </w:p>
    <w:p>
      <w:pPr>
        <w:pStyle w:val="19"/>
        <w:spacing w:line="360" w:lineRule="auto"/>
        <w:ind w:left="0" w:leftChars="0" w:firstLine="422"/>
        <w:rPr>
          <w:rFonts w:ascii="宋体" w:hAnsi="宋体" w:cs="宋体"/>
          <w:b/>
          <w:szCs w:val="21"/>
        </w:rPr>
      </w:pPr>
      <w:r>
        <w:rPr>
          <w:rFonts w:hint="eastAsia" w:ascii="宋体" w:hAnsi="宋体" w:cs="宋体"/>
          <w:b/>
          <w:bCs/>
          <w:szCs w:val="21"/>
        </w:rPr>
        <w:t>15、保险金申请人</w:t>
      </w:r>
      <w:r>
        <w:rPr>
          <w:rFonts w:hint="eastAsia" w:ascii="宋体" w:hAnsi="宋体" w:cs="宋体"/>
          <w:szCs w:val="21"/>
        </w:rPr>
        <w:t>：指被保险人，受益人，被保险人、受益人的继承人或其他依法享有保险金请求权的其他自然人。</w:t>
      </w:r>
    </w:p>
    <w:p>
      <w:pPr>
        <w:pStyle w:val="19"/>
        <w:spacing w:line="360" w:lineRule="auto"/>
        <w:ind w:left="0" w:leftChars="0" w:firstLine="422"/>
        <w:rPr>
          <w:rFonts w:ascii="宋体" w:hAnsi="宋体" w:cs="宋体"/>
          <w:szCs w:val="21"/>
        </w:rPr>
      </w:pPr>
      <w:r>
        <w:rPr>
          <w:rFonts w:hint="eastAsia" w:ascii="宋体" w:hAnsi="宋体" w:cs="宋体"/>
          <w:b/>
          <w:szCs w:val="21"/>
        </w:rPr>
        <w:t>16、有效身份证件：</w:t>
      </w:r>
      <w:r>
        <w:rPr>
          <w:rFonts w:hint="eastAsia" w:ascii="宋体" w:hAnsi="宋体" w:cs="宋体"/>
          <w:szCs w:val="21"/>
        </w:rPr>
        <w:t>指由政府主管部门规定的证明其身份的证件，包括但不限于居民身份证、按规定可使用的有效护照、军官证、警官证、士兵证等证件。</w:t>
      </w:r>
    </w:p>
    <w:p>
      <w:pPr>
        <w:widowControl/>
        <w:spacing w:line="360" w:lineRule="auto"/>
        <w:ind w:firstLine="422" w:firstLineChars="200"/>
        <w:jc w:val="left"/>
        <w:rPr>
          <w:rFonts w:asciiTheme="minorEastAsia" w:hAnsiTheme="minorEastAsia" w:cstheme="minorEastAsia"/>
          <w:b/>
          <w:bCs/>
          <w:szCs w:val="21"/>
        </w:rPr>
      </w:pPr>
      <w:r>
        <w:rPr>
          <w:rFonts w:hint="eastAsia" w:asciiTheme="minorEastAsia" w:hAnsiTheme="minorEastAsia" w:cstheme="minorEastAsia"/>
          <w:b/>
          <w:bCs/>
          <w:kern w:val="0"/>
          <w:szCs w:val="21"/>
          <w:lang w:bidi="ar"/>
        </w:rPr>
        <w:t>17</w:t>
      </w:r>
      <w:r>
        <w:rPr>
          <w:rFonts w:asciiTheme="minorEastAsia" w:hAnsiTheme="minorEastAsia" w:cstheme="minorEastAsia"/>
          <w:b/>
          <w:bCs/>
          <w:kern w:val="0"/>
          <w:szCs w:val="21"/>
          <w:lang w:bidi="ar"/>
        </w:rPr>
        <w:t xml:space="preserve">、组织病理学检查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kern w:val="0"/>
          <w:szCs w:val="21"/>
          <w:lang w:bidi="ar"/>
        </w:rPr>
        <w:t>组织病理学检查是通过局部切除、钳取、穿刺等手术方法，从患者机体采取病变组织块，经过包埋、切片后，进行病理检查的方法。</w:t>
      </w:r>
      <w:r>
        <w:rPr>
          <w:rFonts w:asciiTheme="minorEastAsia" w:hAnsiTheme="minorEastAsia" w:cstheme="minorEastAsia"/>
          <w:kern w:val="0"/>
          <w:szCs w:val="21"/>
          <w:lang w:bidi="ar"/>
        </w:rPr>
        <w:t xml:space="preserve"> </w:t>
      </w:r>
    </w:p>
    <w:p>
      <w:pPr>
        <w:pStyle w:val="19"/>
        <w:spacing w:line="360" w:lineRule="auto"/>
        <w:ind w:left="0" w:leftChars="0" w:firstLine="422"/>
        <w:rPr>
          <w:rFonts w:asciiTheme="minorEastAsia" w:hAnsiTheme="minorEastAsia" w:eastAsiaTheme="minorEastAsia" w:cstheme="minorEastAsia"/>
          <w:b/>
          <w:kern w:val="0"/>
          <w:szCs w:val="21"/>
          <w:lang w:bidi="ar"/>
        </w:rPr>
      </w:pPr>
      <w:r>
        <w:rPr>
          <w:rFonts w:hint="eastAsia" w:asciiTheme="minorEastAsia" w:hAnsiTheme="minorEastAsia" w:eastAsiaTheme="minorEastAsia" w:cstheme="minorEastAsia"/>
          <w:b/>
          <w:kern w:val="0"/>
          <w:szCs w:val="21"/>
          <w:lang w:bidi="ar"/>
        </w:rPr>
        <w:t>通过采集病变部位脱落细胞、细针吸取病变部位细胞、体腔积液分离病变细胞等方式获取病变细胞，制成涂片，进行病理检查的方法，属于细胞病理学检查，不属于组织病理学检查。</w:t>
      </w:r>
    </w:p>
    <w:p>
      <w:pPr>
        <w:widowControl/>
        <w:spacing w:line="360" w:lineRule="auto"/>
        <w:ind w:firstLine="422" w:firstLineChars="200"/>
        <w:jc w:val="left"/>
        <w:rPr>
          <w:rFonts w:asciiTheme="minorEastAsia" w:hAnsiTheme="minorEastAsia" w:cstheme="minorEastAsia"/>
          <w:b/>
          <w:bCs/>
          <w:szCs w:val="21"/>
        </w:rPr>
      </w:pPr>
      <w:r>
        <w:rPr>
          <w:rFonts w:hint="eastAsia" w:asciiTheme="minorEastAsia" w:hAnsiTheme="minorEastAsia" w:cstheme="minorEastAsia"/>
          <w:b/>
          <w:bCs/>
          <w:kern w:val="0"/>
          <w:szCs w:val="21"/>
          <w:lang w:bidi="ar"/>
        </w:rPr>
        <w:t>18</w:t>
      </w:r>
      <w:r>
        <w:rPr>
          <w:rFonts w:asciiTheme="minorEastAsia" w:hAnsiTheme="minorEastAsia" w:cstheme="minorEastAsia"/>
          <w:b/>
          <w:bCs/>
          <w:kern w:val="0"/>
          <w:szCs w:val="21"/>
          <w:lang w:bidi="ar"/>
        </w:rPr>
        <w:t xml:space="preserve">、ICD-10 与 ICD-O-3 </w:t>
      </w:r>
    </w:p>
    <w:p>
      <w:pPr>
        <w:pStyle w:val="19"/>
        <w:spacing w:line="360" w:lineRule="auto"/>
        <w:ind w:left="0" w:leftChars="0"/>
        <w:rPr>
          <w:rFonts w:asciiTheme="minorEastAsia" w:hAnsiTheme="minorEastAsia" w:eastAsiaTheme="minorEastAsia" w:cstheme="minorEastAsia"/>
          <w:kern w:val="0"/>
          <w:szCs w:val="21"/>
          <w:lang w:bidi="ar"/>
        </w:rPr>
      </w:pPr>
      <w:r>
        <w:rPr>
          <w:rFonts w:hint="eastAsia" w:asciiTheme="minorEastAsia" w:hAnsiTheme="minorEastAsia" w:eastAsiaTheme="minorEastAsia" w:cstheme="minorEastAsia"/>
          <w:kern w:val="0"/>
          <w:szCs w:val="21"/>
          <w:lang w:bidi="ar"/>
        </w:rPr>
        <w:t>《疾病和有关健康问题的国际统计分类》第十次修订版（</w:t>
      </w:r>
      <w:r>
        <w:rPr>
          <w:rFonts w:asciiTheme="minorEastAsia" w:hAnsiTheme="minorEastAsia" w:eastAsiaTheme="minorEastAsia" w:cstheme="minorEastAsia"/>
          <w:kern w:val="0"/>
          <w:szCs w:val="21"/>
          <w:lang w:bidi="ar"/>
        </w:rPr>
        <w:t xml:space="preserve">ICD-10），是世界卫生组织（WHO）发布的国际通用的疾病分类方法。《国际疾病分类肿瘤学专辑》第三版（ICD-O-3），是 WHO </w:t>
      </w:r>
      <w:r>
        <w:rPr>
          <w:rFonts w:hint="eastAsia" w:asciiTheme="minorEastAsia" w:hAnsiTheme="minorEastAsia" w:eastAsiaTheme="minorEastAsia" w:cstheme="minorEastAsia"/>
          <w:kern w:val="0"/>
          <w:szCs w:val="21"/>
          <w:lang w:bidi="ar"/>
        </w:rPr>
        <w:t>发布的针对</w:t>
      </w:r>
      <w:r>
        <w:rPr>
          <w:rFonts w:asciiTheme="minorEastAsia" w:hAnsiTheme="minorEastAsia" w:eastAsiaTheme="minorEastAsia" w:cstheme="minorEastAsia"/>
          <w:kern w:val="0"/>
          <w:szCs w:val="21"/>
          <w:lang w:bidi="ar"/>
        </w:rPr>
        <w:t xml:space="preserve"> ICD </w:t>
      </w:r>
      <w:r>
        <w:rPr>
          <w:rFonts w:hint="eastAsia" w:asciiTheme="minorEastAsia" w:hAnsiTheme="minorEastAsia" w:eastAsiaTheme="minorEastAsia" w:cstheme="minorEastAsia"/>
          <w:kern w:val="0"/>
          <w:szCs w:val="21"/>
          <w:lang w:bidi="ar"/>
        </w:rPr>
        <w:t>中肿瘤形态学组织学细胞类型、动态、分化程度的补充编码。其中形态学编码：</w:t>
      </w:r>
      <w:r>
        <w:rPr>
          <w:rFonts w:asciiTheme="minorEastAsia" w:hAnsiTheme="minorEastAsia" w:eastAsiaTheme="minorEastAsia" w:cstheme="minorEastAsia"/>
          <w:kern w:val="0"/>
          <w:szCs w:val="21"/>
          <w:lang w:bidi="ar"/>
        </w:rPr>
        <w:t xml:space="preserve">0 </w:t>
      </w:r>
      <w:r>
        <w:rPr>
          <w:rFonts w:hint="eastAsia" w:asciiTheme="minorEastAsia" w:hAnsiTheme="minorEastAsia" w:eastAsiaTheme="minorEastAsia" w:cstheme="minorEastAsia"/>
          <w:kern w:val="0"/>
          <w:szCs w:val="21"/>
          <w:lang w:bidi="ar"/>
        </w:rPr>
        <w:t>代表良性肿瘤；</w:t>
      </w:r>
      <w:r>
        <w:rPr>
          <w:rFonts w:asciiTheme="minorEastAsia" w:hAnsiTheme="minorEastAsia" w:eastAsiaTheme="minorEastAsia" w:cstheme="minorEastAsia"/>
          <w:kern w:val="0"/>
          <w:szCs w:val="21"/>
          <w:lang w:bidi="ar"/>
        </w:rPr>
        <w:t xml:space="preserve">1 </w:t>
      </w:r>
      <w:r>
        <w:rPr>
          <w:rFonts w:hint="eastAsia" w:asciiTheme="minorEastAsia" w:hAnsiTheme="minorEastAsia" w:eastAsiaTheme="minorEastAsia" w:cstheme="minorEastAsia"/>
          <w:kern w:val="0"/>
          <w:szCs w:val="21"/>
          <w:lang w:bidi="ar"/>
        </w:rPr>
        <w:t>代表动态未定性肿瘤；</w:t>
      </w:r>
      <w:r>
        <w:rPr>
          <w:rFonts w:asciiTheme="minorEastAsia" w:hAnsiTheme="minorEastAsia" w:eastAsiaTheme="minorEastAsia" w:cstheme="minorEastAsia"/>
          <w:kern w:val="0"/>
          <w:szCs w:val="21"/>
          <w:lang w:bidi="ar"/>
        </w:rPr>
        <w:t xml:space="preserve">2 </w:t>
      </w:r>
      <w:r>
        <w:rPr>
          <w:rFonts w:hint="eastAsia" w:asciiTheme="minorEastAsia" w:hAnsiTheme="minorEastAsia" w:eastAsiaTheme="minorEastAsia" w:cstheme="minorEastAsia"/>
          <w:kern w:val="0"/>
          <w:szCs w:val="21"/>
          <w:lang w:bidi="ar"/>
        </w:rPr>
        <w:t>代表原位癌和非侵袭性癌；</w:t>
      </w:r>
      <w:r>
        <w:rPr>
          <w:rFonts w:asciiTheme="minorEastAsia" w:hAnsiTheme="minorEastAsia" w:eastAsiaTheme="minorEastAsia" w:cstheme="minorEastAsia"/>
          <w:kern w:val="0"/>
          <w:szCs w:val="21"/>
          <w:lang w:bidi="ar"/>
        </w:rPr>
        <w:t xml:space="preserve">3 </w:t>
      </w:r>
      <w:r>
        <w:rPr>
          <w:rFonts w:hint="eastAsia" w:asciiTheme="minorEastAsia" w:hAnsiTheme="minorEastAsia" w:eastAsiaTheme="minorEastAsia" w:cstheme="minorEastAsia"/>
          <w:kern w:val="0"/>
          <w:szCs w:val="21"/>
          <w:lang w:bidi="ar"/>
        </w:rPr>
        <w:t>代表恶性肿瘤（原发性）；</w:t>
      </w:r>
      <w:r>
        <w:rPr>
          <w:rFonts w:asciiTheme="minorEastAsia" w:hAnsiTheme="minorEastAsia" w:eastAsiaTheme="minorEastAsia" w:cstheme="minorEastAsia"/>
          <w:kern w:val="0"/>
          <w:szCs w:val="21"/>
          <w:lang w:bidi="ar"/>
        </w:rPr>
        <w:t xml:space="preserve">6 </w:t>
      </w:r>
      <w:r>
        <w:rPr>
          <w:rFonts w:hint="eastAsia" w:asciiTheme="minorEastAsia" w:hAnsiTheme="minorEastAsia" w:eastAsiaTheme="minorEastAsia" w:cstheme="minorEastAsia"/>
          <w:kern w:val="0"/>
          <w:szCs w:val="21"/>
          <w:lang w:bidi="ar"/>
        </w:rPr>
        <w:t>代表恶性肿瘤（转移性）；</w:t>
      </w:r>
      <w:r>
        <w:rPr>
          <w:rFonts w:asciiTheme="minorEastAsia" w:hAnsiTheme="minorEastAsia" w:eastAsiaTheme="minorEastAsia" w:cstheme="minorEastAsia"/>
          <w:kern w:val="0"/>
          <w:szCs w:val="21"/>
          <w:lang w:bidi="ar"/>
        </w:rPr>
        <w:t xml:space="preserve">9 </w:t>
      </w:r>
      <w:r>
        <w:rPr>
          <w:rFonts w:hint="eastAsia" w:asciiTheme="minorEastAsia" w:hAnsiTheme="minorEastAsia" w:eastAsiaTheme="minorEastAsia" w:cstheme="minorEastAsia"/>
          <w:kern w:val="0"/>
          <w:szCs w:val="21"/>
          <w:lang w:bidi="ar"/>
        </w:rPr>
        <w:t>代表恶性肿瘤（原发性或转移性未肯定）。如果出现</w:t>
      </w:r>
      <w:r>
        <w:rPr>
          <w:rFonts w:asciiTheme="minorEastAsia" w:hAnsiTheme="minorEastAsia" w:eastAsiaTheme="minorEastAsia" w:cstheme="minorEastAsia"/>
          <w:kern w:val="0"/>
          <w:szCs w:val="21"/>
          <w:lang w:bidi="ar"/>
        </w:rPr>
        <w:t xml:space="preserve"> ICD-10 </w:t>
      </w:r>
      <w:r>
        <w:rPr>
          <w:rFonts w:hint="eastAsia" w:asciiTheme="minorEastAsia" w:hAnsiTheme="minorEastAsia" w:eastAsiaTheme="minorEastAsia" w:cstheme="minorEastAsia"/>
          <w:kern w:val="0"/>
          <w:szCs w:val="21"/>
          <w:lang w:bidi="ar"/>
        </w:rPr>
        <w:t>与</w:t>
      </w:r>
      <w:r>
        <w:rPr>
          <w:rFonts w:asciiTheme="minorEastAsia" w:hAnsiTheme="minorEastAsia" w:eastAsiaTheme="minorEastAsia" w:cstheme="minorEastAsia"/>
          <w:kern w:val="0"/>
          <w:szCs w:val="21"/>
          <w:lang w:bidi="ar"/>
        </w:rPr>
        <w:t xml:space="preserve"> ICD-O-3 </w:t>
      </w:r>
      <w:r>
        <w:rPr>
          <w:rFonts w:hint="eastAsia" w:asciiTheme="minorEastAsia" w:hAnsiTheme="minorEastAsia" w:eastAsiaTheme="minorEastAsia" w:cstheme="minorEastAsia"/>
          <w:kern w:val="0"/>
          <w:szCs w:val="21"/>
          <w:lang w:bidi="ar"/>
        </w:rPr>
        <w:t>不一致的情况，以</w:t>
      </w:r>
      <w:r>
        <w:rPr>
          <w:rFonts w:asciiTheme="minorEastAsia" w:hAnsiTheme="minorEastAsia" w:eastAsiaTheme="minorEastAsia" w:cstheme="minorEastAsia"/>
          <w:kern w:val="0"/>
          <w:szCs w:val="21"/>
          <w:lang w:bidi="ar"/>
        </w:rPr>
        <w:t xml:space="preserve"> ICD-O-3 </w:t>
      </w:r>
      <w:r>
        <w:rPr>
          <w:rFonts w:hint="eastAsia" w:asciiTheme="minorEastAsia" w:hAnsiTheme="minorEastAsia" w:eastAsiaTheme="minorEastAsia" w:cstheme="minorEastAsia"/>
          <w:kern w:val="0"/>
          <w:szCs w:val="21"/>
          <w:lang w:bidi="ar"/>
        </w:rPr>
        <w:t>为准。</w:t>
      </w:r>
    </w:p>
    <w:p>
      <w:pPr>
        <w:widowControl/>
        <w:spacing w:line="360" w:lineRule="auto"/>
        <w:ind w:firstLine="422" w:firstLineChars="200"/>
        <w:jc w:val="left"/>
        <w:rPr>
          <w:rFonts w:asciiTheme="minorEastAsia" w:hAnsiTheme="minorEastAsia" w:cstheme="minorEastAsia"/>
          <w:b/>
          <w:bCs/>
          <w:szCs w:val="21"/>
        </w:rPr>
      </w:pPr>
      <w:r>
        <w:rPr>
          <w:rFonts w:hint="eastAsia" w:asciiTheme="minorEastAsia" w:hAnsiTheme="minorEastAsia" w:cstheme="minorEastAsia"/>
          <w:b/>
          <w:bCs/>
          <w:kern w:val="0"/>
          <w:szCs w:val="21"/>
          <w:lang w:bidi="ar"/>
        </w:rPr>
        <w:t>19</w:t>
      </w:r>
      <w:r>
        <w:rPr>
          <w:rFonts w:asciiTheme="minorEastAsia" w:hAnsiTheme="minorEastAsia" w:cstheme="minorEastAsia"/>
          <w:b/>
          <w:bCs/>
          <w:kern w:val="0"/>
          <w:szCs w:val="21"/>
          <w:lang w:bidi="ar"/>
        </w:rPr>
        <w:t xml:space="preserve">、TNM 分期 </w:t>
      </w:r>
    </w:p>
    <w:p>
      <w:pPr>
        <w:pStyle w:val="19"/>
        <w:spacing w:line="360" w:lineRule="auto"/>
        <w:ind w:left="0" w:leftChars="0"/>
        <w:rPr>
          <w:rFonts w:asciiTheme="minorEastAsia" w:hAnsiTheme="minorEastAsia" w:eastAsiaTheme="minorEastAsia" w:cstheme="minorEastAsia"/>
          <w:kern w:val="0"/>
          <w:szCs w:val="21"/>
          <w:lang w:bidi="ar"/>
        </w:rPr>
      </w:pPr>
      <w:r>
        <w:rPr>
          <w:rFonts w:asciiTheme="minorEastAsia" w:hAnsiTheme="minorEastAsia" w:eastAsiaTheme="minorEastAsia" w:cstheme="minorEastAsia"/>
          <w:kern w:val="0"/>
          <w:szCs w:val="21"/>
          <w:lang w:bidi="ar"/>
        </w:rPr>
        <w:t xml:space="preserve">TNM </w:t>
      </w:r>
      <w:r>
        <w:rPr>
          <w:rFonts w:hint="eastAsia" w:asciiTheme="minorEastAsia" w:hAnsiTheme="minorEastAsia" w:eastAsiaTheme="minorEastAsia" w:cstheme="minorEastAsia"/>
          <w:kern w:val="0"/>
          <w:szCs w:val="21"/>
          <w:lang w:bidi="ar"/>
        </w:rPr>
        <w:t>分期采用</w:t>
      </w:r>
      <w:r>
        <w:rPr>
          <w:rFonts w:asciiTheme="minorEastAsia" w:hAnsiTheme="minorEastAsia" w:eastAsiaTheme="minorEastAsia" w:cstheme="minorEastAsia"/>
          <w:kern w:val="0"/>
          <w:szCs w:val="21"/>
          <w:lang w:bidi="ar"/>
        </w:rPr>
        <w:t xml:space="preserve"> AJCC </w:t>
      </w:r>
      <w:r>
        <w:rPr>
          <w:rFonts w:hint="eastAsia" w:asciiTheme="minorEastAsia" w:hAnsiTheme="minorEastAsia" w:eastAsiaTheme="minorEastAsia" w:cstheme="minorEastAsia"/>
          <w:kern w:val="0"/>
          <w:szCs w:val="21"/>
          <w:lang w:bidi="ar"/>
        </w:rPr>
        <w:t>癌症分期手册标准。该标准由美国癌症联合委员会与国际抗癌联合会</w:t>
      </w:r>
      <w:r>
        <w:rPr>
          <w:rFonts w:asciiTheme="minorEastAsia" w:hAnsiTheme="minorEastAsia" w:eastAsiaTheme="minorEastAsia" w:cstheme="minorEastAsia"/>
          <w:kern w:val="0"/>
          <w:szCs w:val="21"/>
          <w:lang w:bidi="ar"/>
        </w:rPr>
        <w:t xml:space="preserve"> TNM </w:t>
      </w:r>
      <w:r>
        <w:rPr>
          <w:rFonts w:hint="eastAsia" w:asciiTheme="minorEastAsia" w:hAnsiTheme="minorEastAsia" w:eastAsiaTheme="minorEastAsia" w:cstheme="minorEastAsia"/>
          <w:kern w:val="0"/>
          <w:szCs w:val="21"/>
          <w:lang w:bidi="ar"/>
        </w:rPr>
        <w:t>委员会联合制定，是目前肿瘤医学分期的国际通用标准。</w:t>
      </w:r>
      <w:r>
        <w:rPr>
          <w:rFonts w:asciiTheme="minorEastAsia" w:hAnsiTheme="minorEastAsia" w:eastAsiaTheme="minorEastAsia" w:cstheme="minorEastAsia"/>
          <w:kern w:val="0"/>
          <w:szCs w:val="21"/>
          <w:lang w:bidi="ar"/>
        </w:rPr>
        <w:t xml:space="preserve">T </w:t>
      </w:r>
      <w:r>
        <w:rPr>
          <w:rFonts w:hint="eastAsia" w:asciiTheme="minorEastAsia" w:hAnsiTheme="minorEastAsia" w:eastAsiaTheme="minorEastAsia" w:cstheme="minorEastAsia"/>
          <w:kern w:val="0"/>
          <w:szCs w:val="21"/>
          <w:lang w:bidi="ar"/>
        </w:rPr>
        <w:t>指原发肿瘤的大小、形态等；</w:t>
      </w:r>
      <w:r>
        <w:rPr>
          <w:rFonts w:asciiTheme="minorEastAsia" w:hAnsiTheme="minorEastAsia" w:eastAsiaTheme="minorEastAsia" w:cstheme="minorEastAsia"/>
          <w:kern w:val="0"/>
          <w:szCs w:val="21"/>
          <w:lang w:bidi="ar"/>
        </w:rPr>
        <w:t xml:space="preserve">N </w:t>
      </w:r>
      <w:r>
        <w:rPr>
          <w:rFonts w:hint="eastAsia" w:asciiTheme="minorEastAsia" w:hAnsiTheme="minorEastAsia" w:eastAsiaTheme="minorEastAsia" w:cstheme="minorEastAsia"/>
          <w:kern w:val="0"/>
          <w:szCs w:val="21"/>
          <w:lang w:bidi="ar"/>
        </w:rPr>
        <w:t>指淋巴结的转移情况；</w:t>
      </w:r>
      <w:r>
        <w:rPr>
          <w:rFonts w:asciiTheme="minorEastAsia" w:hAnsiTheme="minorEastAsia" w:eastAsiaTheme="minorEastAsia" w:cstheme="minorEastAsia"/>
          <w:kern w:val="0"/>
          <w:szCs w:val="21"/>
          <w:lang w:bidi="ar"/>
        </w:rPr>
        <w:t xml:space="preserve">M </w:t>
      </w:r>
      <w:r>
        <w:rPr>
          <w:rFonts w:hint="eastAsia" w:asciiTheme="minorEastAsia" w:hAnsiTheme="minorEastAsia" w:eastAsiaTheme="minorEastAsia" w:cstheme="minorEastAsia"/>
          <w:kern w:val="0"/>
          <w:szCs w:val="21"/>
          <w:lang w:bidi="ar"/>
        </w:rPr>
        <w:t>指有无其他脏器的转移情况。</w:t>
      </w:r>
    </w:p>
    <w:p>
      <w:pPr>
        <w:widowControl/>
        <w:spacing w:line="360" w:lineRule="auto"/>
        <w:ind w:firstLine="422" w:firstLineChars="200"/>
        <w:jc w:val="left"/>
        <w:rPr>
          <w:rFonts w:asciiTheme="minorEastAsia" w:hAnsiTheme="minorEastAsia" w:cstheme="minorEastAsia"/>
          <w:szCs w:val="21"/>
        </w:rPr>
      </w:pPr>
      <w:r>
        <w:rPr>
          <w:rFonts w:hint="eastAsia" w:asciiTheme="minorEastAsia" w:hAnsiTheme="minorEastAsia" w:cstheme="minorEastAsia"/>
          <w:b/>
          <w:bCs/>
          <w:kern w:val="0"/>
          <w:szCs w:val="21"/>
          <w:lang w:bidi="ar"/>
        </w:rPr>
        <w:t>20</w:t>
      </w:r>
      <w:r>
        <w:rPr>
          <w:rFonts w:asciiTheme="minorEastAsia" w:hAnsiTheme="minorEastAsia" w:cstheme="minorEastAsia"/>
          <w:b/>
          <w:bCs/>
          <w:kern w:val="0"/>
          <w:szCs w:val="21"/>
          <w:lang w:bidi="ar"/>
        </w:rPr>
        <w:t xml:space="preserve">、甲状腺癌的 TNM </w:t>
      </w:r>
      <w:r>
        <w:rPr>
          <w:rFonts w:hint="eastAsia" w:asciiTheme="minorEastAsia" w:hAnsiTheme="minorEastAsia" w:cstheme="minorEastAsia"/>
          <w:b/>
          <w:bCs/>
          <w:kern w:val="0"/>
          <w:szCs w:val="21"/>
          <w:lang w:bidi="ar"/>
        </w:rPr>
        <w:t>分期</w:t>
      </w:r>
      <w:r>
        <w:rPr>
          <w:rFonts w:asciiTheme="minorEastAsia" w:hAnsiTheme="minorEastAsia" w:cstheme="minorEastAsia"/>
          <w:kern w:val="0"/>
          <w:szCs w:val="21"/>
          <w:lang w:bidi="ar"/>
        </w:rPr>
        <w:t xml:space="preserve"> </w:t>
      </w:r>
    </w:p>
    <w:p>
      <w:pPr>
        <w:widowControl/>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kern w:val="0"/>
          <w:szCs w:val="21"/>
          <w:lang w:bidi="ar"/>
        </w:rPr>
        <w:t>甲状腺癌的</w:t>
      </w:r>
      <w:r>
        <w:rPr>
          <w:rFonts w:asciiTheme="minorEastAsia" w:hAnsiTheme="minorEastAsia" w:cstheme="minorEastAsia"/>
          <w:kern w:val="0"/>
          <w:szCs w:val="21"/>
          <w:lang w:bidi="ar"/>
        </w:rPr>
        <w:t xml:space="preserve">TNM分期采用目前现行的AJCC第八版定义标准，我国国家卫生健康委员会2018年发布的《甲状腺癌诊疗规范（2018年版）》也采用此定义标准，具体见下： </w:t>
      </w:r>
    </w:p>
    <w:p>
      <w:pPr>
        <w:numPr>
          <w:ilvl w:val="255"/>
          <w:numId w:val="0"/>
        </w:numPr>
        <w:spacing w:line="360" w:lineRule="auto"/>
        <w:ind w:firstLine="420" w:firstLineChars="200"/>
        <w:rPr>
          <w:rFonts w:ascii="宋体" w:hAnsi="宋体" w:cs="宋体"/>
          <w:szCs w:val="21"/>
        </w:rPr>
      </w:pPr>
      <w:r>
        <w:rPr>
          <w:rFonts w:ascii="宋体" w:hAnsi="宋体" w:cs="宋体"/>
          <w:szCs w:val="21"/>
        </w:rPr>
        <w:t>甲状腺乳头状癌、滤泡癌、低分化癌、Hürthle细胞癌和未分化癌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X</w:t>
      </w:r>
      <w:r>
        <w:rPr>
          <w:rFonts w:ascii="宋体" w:hAnsi="宋体" w:cs="宋体"/>
          <w:szCs w:val="21"/>
        </w:rPr>
        <w:t>：原发肿瘤不能评估</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0</w:t>
      </w:r>
      <w:r>
        <w:rPr>
          <w:rFonts w:ascii="宋体" w:hAnsi="宋体" w:cs="宋体"/>
          <w:szCs w:val="21"/>
        </w:rPr>
        <w:t>：无肿瘤证据</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1</w:t>
      </w:r>
      <w:r>
        <w:rPr>
          <w:rFonts w:ascii="宋体" w:hAnsi="宋体" w:cs="宋体"/>
          <w:szCs w:val="21"/>
        </w:rPr>
        <w:t>：肿瘤局限在甲状腺内，最大径≤2cm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1a</w:t>
      </w:r>
      <w:r>
        <w:rPr>
          <w:rFonts w:ascii="宋体" w:hAnsi="宋体" w:cs="宋体"/>
          <w:szCs w:val="21"/>
        </w:rPr>
        <w:t>肿瘤最大径≤1cm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1b</w:t>
      </w:r>
      <w:r>
        <w:rPr>
          <w:rFonts w:ascii="宋体" w:hAnsi="宋体" w:cs="宋体"/>
          <w:szCs w:val="21"/>
        </w:rPr>
        <w:t>肿瘤最大径＞1cm，≤2cm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2</w:t>
      </w:r>
      <w:r>
        <w:rPr>
          <w:rFonts w:ascii="宋体" w:hAnsi="宋体" w:cs="宋体"/>
          <w:szCs w:val="21"/>
        </w:rPr>
        <w:t>：肿瘤2～4cm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w:t>
      </w:r>
      <w:r>
        <w:rPr>
          <w:rFonts w:ascii="宋体" w:hAnsi="宋体" w:cs="宋体"/>
          <w:szCs w:val="21"/>
        </w:rPr>
        <w:t>：肿瘤&gt;4cm，局限于甲状腺内或大体侵犯甲状腺外带状肌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3a</w:t>
      </w:r>
      <w:r>
        <w:rPr>
          <w:rFonts w:ascii="宋体" w:hAnsi="宋体" w:cs="宋体"/>
          <w:szCs w:val="21"/>
        </w:rPr>
        <w:t>：肿瘤&gt;4cm，局限于甲状腺内</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3b</w:t>
      </w:r>
      <w:r>
        <w:rPr>
          <w:rFonts w:ascii="宋体" w:hAnsi="宋体" w:cs="宋体"/>
          <w:szCs w:val="21"/>
        </w:rPr>
        <w:t>：大体侵犯甲状腺外带状肌，无论肿瘤大小</w:t>
      </w:r>
    </w:p>
    <w:p>
      <w:pPr>
        <w:numPr>
          <w:ilvl w:val="255"/>
          <w:numId w:val="0"/>
        </w:numPr>
        <w:spacing w:line="360" w:lineRule="auto"/>
        <w:ind w:firstLine="840" w:firstLineChars="400"/>
        <w:rPr>
          <w:rFonts w:ascii="宋体" w:hAnsi="宋体" w:cs="宋体"/>
          <w:szCs w:val="21"/>
        </w:rPr>
      </w:pPr>
      <w:r>
        <w:rPr>
          <w:rFonts w:ascii="宋体" w:hAnsi="宋体" w:cs="宋体"/>
          <w:szCs w:val="21"/>
        </w:rPr>
        <w:t>带状肌包括：胸骨舌骨肌、胸骨甲状肌、甲状舌骨肌、肩胛舌骨肌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w:t>
      </w:r>
      <w:r>
        <w:rPr>
          <w:rFonts w:ascii="宋体" w:hAnsi="宋体" w:cs="宋体"/>
          <w:szCs w:val="21"/>
        </w:rPr>
        <w:t>：大体侵犯甲状腺外带状肌外</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4a</w:t>
      </w:r>
      <w:r>
        <w:rPr>
          <w:rFonts w:ascii="宋体" w:hAnsi="宋体" w:cs="宋体"/>
          <w:szCs w:val="21"/>
        </w:rPr>
        <w:t>：侵犯喉、气管、食管、喉反神经及皮下软组织</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4b</w:t>
      </w:r>
      <w:r>
        <w:rPr>
          <w:rFonts w:ascii="宋体" w:hAnsi="宋体" w:cs="宋体"/>
          <w:szCs w:val="21"/>
        </w:rPr>
        <w:t>：侵犯椎前筋膜，或包裹颈动脉、纵隔血管</w:t>
      </w:r>
    </w:p>
    <w:p>
      <w:pPr>
        <w:numPr>
          <w:ilvl w:val="255"/>
          <w:numId w:val="0"/>
        </w:numPr>
        <w:spacing w:line="360" w:lineRule="auto"/>
        <w:ind w:firstLine="420" w:firstLineChars="200"/>
        <w:rPr>
          <w:rFonts w:ascii="宋体" w:hAnsi="宋体" w:cs="宋体"/>
          <w:szCs w:val="21"/>
        </w:rPr>
      </w:pPr>
      <w:r>
        <w:rPr>
          <w:rFonts w:ascii="宋体" w:hAnsi="宋体" w:cs="宋体"/>
          <w:szCs w:val="21"/>
        </w:rPr>
        <w:t>甲状腺髓样癌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X</w:t>
      </w:r>
      <w:r>
        <w:rPr>
          <w:rFonts w:ascii="宋体" w:hAnsi="宋体" w:cs="宋体"/>
          <w:szCs w:val="21"/>
        </w:rPr>
        <w:t>：原发肿瘤不能评估</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0</w:t>
      </w:r>
      <w:r>
        <w:rPr>
          <w:rFonts w:ascii="宋体" w:hAnsi="宋体" w:cs="宋体"/>
          <w:szCs w:val="21"/>
        </w:rPr>
        <w:t>：无肿瘤证据</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1</w:t>
      </w:r>
      <w:r>
        <w:rPr>
          <w:rFonts w:ascii="宋体" w:hAnsi="宋体" w:cs="宋体"/>
          <w:szCs w:val="21"/>
        </w:rPr>
        <w:t>：肿瘤局限在甲状腺内，最大径≤2cm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1a</w:t>
      </w:r>
      <w:r>
        <w:rPr>
          <w:rFonts w:ascii="宋体" w:hAnsi="宋体" w:cs="宋体"/>
          <w:szCs w:val="21"/>
        </w:rPr>
        <w:t>肿瘤最大径≤1cm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1b</w:t>
      </w:r>
      <w:r>
        <w:rPr>
          <w:rFonts w:ascii="宋体" w:hAnsi="宋体" w:cs="宋体"/>
          <w:szCs w:val="21"/>
        </w:rPr>
        <w:t>肿瘤最大径＞1cm，≤2cm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2</w:t>
      </w:r>
      <w:r>
        <w:rPr>
          <w:rFonts w:ascii="宋体" w:hAnsi="宋体" w:cs="宋体"/>
          <w:szCs w:val="21"/>
        </w:rPr>
        <w:t>：肿瘤2～4cm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w:t>
      </w:r>
      <w:r>
        <w:rPr>
          <w:rFonts w:ascii="宋体" w:hAnsi="宋体" w:cs="宋体"/>
          <w:szCs w:val="21"/>
        </w:rPr>
        <w:t>：肿瘤&gt;4cm，局限于甲状腺内或大体侵犯甲状腺外带状肌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3a</w:t>
      </w:r>
      <w:r>
        <w:rPr>
          <w:rFonts w:ascii="宋体" w:hAnsi="宋体" w:cs="宋体"/>
          <w:szCs w:val="21"/>
        </w:rPr>
        <w:t>：肿瘤&gt;4cm，局限于甲状腺内</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3b</w:t>
      </w:r>
      <w:r>
        <w:rPr>
          <w:rFonts w:ascii="宋体" w:hAnsi="宋体" w:cs="宋体"/>
          <w:szCs w:val="21"/>
        </w:rPr>
        <w:t>：大体侵犯甲状腺外带状肌，无论肿瘤大小</w:t>
      </w:r>
    </w:p>
    <w:p>
      <w:pPr>
        <w:numPr>
          <w:ilvl w:val="255"/>
          <w:numId w:val="0"/>
        </w:numPr>
        <w:spacing w:line="360" w:lineRule="auto"/>
        <w:ind w:firstLine="840" w:firstLineChars="400"/>
        <w:rPr>
          <w:rFonts w:ascii="宋体" w:hAnsi="宋体" w:cs="宋体"/>
          <w:szCs w:val="21"/>
        </w:rPr>
      </w:pPr>
      <w:r>
        <w:rPr>
          <w:rFonts w:ascii="宋体" w:hAnsi="宋体" w:cs="宋体"/>
          <w:szCs w:val="21"/>
        </w:rPr>
        <w:t>带状肌包括：胸骨舌骨肌、胸骨甲状肌、甲状舌骨肌、肩胛舌骨肌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w:t>
      </w:r>
      <w:r>
        <w:rPr>
          <w:rFonts w:ascii="宋体" w:hAnsi="宋体" w:cs="宋体"/>
          <w:szCs w:val="21"/>
        </w:rPr>
        <w:t>：进展期病变</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4a</w:t>
      </w:r>
      <w:r>
        <w:rPr>
          <w:rFonts w:ascii="宋体" w:hAnsi="宋体" w:cs="宋体"/>
          <w:szCs w:val="21"/>
        </w:rPr>
        <w:t>：中度进展，任何大小的肿瘤，侵犯甲状腺外颈部周围器官和软组织，如喉、气管、食管、喉反神经及皮下软组织</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4b</w:t>
      </w:r>
      <w:r>
        <w:rPr>
          <w:rFonts w:ascii="宋体" w:hAnsi="宋体" w:cs="宋体"/>
          <w:szCs w:val="21"/>
        </w:rPr>
        <w:t>：重度进展，任何大小的肿瘤，侵犯椎前筋膜，或包裹颈动脉、纵隔血管</w:t>
      </w:r>
    </w:p>
    <w:p>
      <w:pPr>
        <w:numPr>
          <w:ilvl w:val="255"/>
          <w:numId w:val="0"/>
        </w:numPr>
        <w:spacing w:line="360" w:lineRule="auto"/>
        <w:ind w:firstLine="840" w:firstLineChars="400"/>
        <w:rPr>
          <w:rFonts w:ascii="宋体" w:hAnsi="宋体" w:cs="宋体"/>
          <w:szCs w:val="21"/>
        </w:rPr>
      </w:pPr>
      <w:r>
        <w:rPr>
          <w:rFonts w:ascii="宋体" w:hAnsi="宋体" w:cs="宋体"/>
          <w:szCs w:val="21"/>
        </w:rPr>
        <w:t>区域淋巴结：适用于所有甲状腺癌</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x</w:t>
      </w:r>
      <w:r>
        <w:rPr>
          <w:rFonts w:ascii="宋体" w:hAnsi="宋体" w:cs="宋体"/>
          <w:szCs w:val="21"/>
        </w:rPr>
        <w:t>：区域淋巴结无法评估</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0</w:t>
      </w:r>
      <w:r>
        <w:rPr>
          <w:rFonts w:ascii="宋体" w:hAnsi="宋体" w:cs="宋体"/>
          <w:szCs w:val="21"/>
        </w:rPr>
        <w:t>：无淋巴结转移证据</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1</w:t>
      </w:r>
      <w:r>
        <w:rPr>
          <w:rFonts w:ascii="宋体" w:hAnsi="宋体" w:cs="宋体"/>
          <w:szCs w:val="21"/>
        </w:rPr>
        <w:t>：区域淋巴结转移</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1a</w:t>
      </w:r>
      <w:r>
        <w:rPr>
          <w:rFonts w:ascii="宋体" w:hAnsi="宋体" w:cs="宋体"/>
          <w:szCs w:val="21"/>
        </w:rPr>
        <w:t>：转移至Ⅵ、Ⅶ区（包括气管旁、气管前、喉前/Delphian或上纵隔）淋巴结，可以为单侧或双侧。</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1b</w:t>
      </w:r>
      <w:r>
        <w:rPr>
          <w:rFonts w:ascii="宋体" w:hAnsi="宋体" w:cs="宋体"/>
          <w:szCs w:val="21"/>
        </w:rPr>
        <w:t>：单侧、双侧或对侧颈淋巴结转移（包括Ⅰ、Ⅱ、Ⅲ、Ⅳ或Ⅴ区）淋巴结或咽后淋巴结转移。</w:t>
      </w:r>
    </w:p>
    <w:p>
      <w:pPr>
        <w:numPr>
          <w:ilvl w:val="255"/>
          <w:numId w:val="0"/>
        </w:numPr>
        <w:spacing w:line="360" w:lineRule="auto"/>
        <w:ind w:firstLine="420" w:firstLineChars="200"/>
        <w:rPr>
          <w:rFonts w:ascii="宋体" w:hAnsi="宋体" w:cs="宋体"/>
          <w:szCs w:val="21"/>
        </w:rPr>
      </w:pPr>
      <w:r>
        <w:rPr>
          <w:rFonts w:ascii="宋体" w:hAnsi="宋体" w:cs="宋体"/>
          <w:szCs w:val="21"/>
        </w:rPr>
        <w:t>远处转移：适用于所有甲状腺癌</w:t>
      </w:r>
    </w:p>
    <w:p>
      <w:pPr>
        <w:numPr>
          <w:ilvl w:val="255"/>
          <w:numId w:val="0"/>
        </w:numPr>
        <w:spacing w:line="360" w:lineRule="auto"/>
        <w:ind w:firstLine="420" w:firstLineChars="200"/>
        <w:rPr>
          <w:rFonts w:ascii="宋体" w:hAnsi="宋体" w:cs="宋体"/>
          <w:szCs w:val="21"/>
        </w:rPr>
      </w:pPr>
      <w:r>
        <w:rPr>
          <w:rFonts w:ascii="宋体" w:hAnsi="宋体" w:cs="宋体"/>
          <w:szCs w:val="21"/>
        </w:rPr>
        <w:t>M</w:t>
      </w:r>
      <w:r>
        <w:rPr>
          <w:rFonts w:ascii="宋体" w:hAnsi="宋体" w:cs="宋体"/>
          <w:szCs w:val="21"/>
          <w:vertAlign w:val="subscript"/>
        </w:rPr>
        <w:t>0</w:t>
      </w:r>
      <w:r>
        <w:rPr>
          <w:rFonts w:ascii="宋体" w:hAnsi="宋体" w:cs="宋体"/>
          <w:szCs w:val="21"/>
        </w:rPr>
        <w:t>：无远处转移</w:t>
      </w:r>
    </w:p>
    <w:p>
      <w:pPr>
        <w:numPr>
          <w:ilvl w:val="255"/>
          <w:numId w:val="0"/>
        </w:numPr>
        <w:spacing w:line="360" w:lineRule="auto"/>
        <w:ind w:firstLine="420" w:firstLineChars="200"/>
        <w:outlineLvl w:val="0"/>
        <w:rPr>
          <w:rFonts w:ascii="宋体" w:hAnsi="宋体" w:cs="宋体"/>
          <w:szCs w:val="21"/>
        </w:rPr>
      </w:pPr>
      <w:r>
        <w:rPr>
          <w:rFonts w:ascii="宋体" w:hAnsi="宋体" w:cs="宋体"/>
          <w:szCs w:val="21"/>
        </w:rPr>
        <w:t>M</w:t>
      </w:r>
      <w:r>
        <w:rPr>
          <w:rFonts w:ascii="宋体" w:hAnsi="宋体" w:cs="宋体"/>
          <w:szCs w:val="21"/>
          <w:vertAlign w:val="subscript"/>
        </w:rPr>
        <w:t>1</w:t>
      </w:r>
      <w:r>
        <w:rPr>
          <w:rFonts w:ascii="宋体" w:hAnsi="宋体" w:cs="宋体"/>
          <w:szCs w:val="21"/>
        </w:rPr>
        <w:t>：有远处转移</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numPr>
                <w:ilvl w:val="255"/>
                <w:numId w:val="0"/>
              </w:numPr>
              <w:spacing w:line="360" w:lineRule="auto"/>
              <w:rPr>
                <w:rFonts w:ascii="宋体" w:hAnsi="宋体" w:cs="宋体"/>
                <w:szCs w:val="21"/>
              </w:rPr>
            </w:pPr>
            <w:r>
              <w:rPr>
                <w:rFonts w:ascii="宋体" w:hAnsi="宋体" w:cs="宋体"/>
                <w:szCs w:val="21"/>
              </w:rPr>
              <w:t>乳头状或滤泡状癌（分化型）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gridSpan w:val="4"/>
          </w:tcPr>
          <w:p>
            <w:pPr>
              <w:numPr>
                <w:ilvl w:val="255"/>
                <w:numId w:val="0"/>
              </w:numPr>
              <w:spacing w:line="360" w:lineRule="auto"/>
              <w:rPr>
                <w:rFonts w:ascii="宋体" w:hAnsi="宋体" w:cs="宋体"/>
                <w:szCs w:val="21"/>
              </w:rPr>
            </w:pPr>
            <w:r>
              <w:rPr>
                <w:rFonts w:ascii="宋体" w:hAnsi="宋体" w:cs="宋体"/>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T</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N</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Ⅰ期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Ⅱ期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cs="宋体"/>
                <w:szCs w:val="21"/>
              </w:rPr>
            </w:pPr>
            <w:r>
              <w:rPr>
                <w:rFonts w:ascii="宋体" w:hAnsi="宋体" w:cs="宋体"/>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Ⅰ期</w:t>
            </w:r>
          </w:p>
        </w:tc>
        <w:tc>
          <w:tcPr>
            <w:tcW w:w="2130" w:type="dxa"/>
          </w:tcPr>
          <w:p>
            <w:pPr>
              <w:numPr>
                <w:ilvl w:val="255"/>
                <w:numId w:val="0"/>
              </w:numPr>
              <w:spacing w:line="360" w:lineRule="auto"/>
              <w:rPr>
                <w:rFonts w:ascii="宋体" w:hAnsi="宋体" w:cs="宋体"/>
                <w:szCs w:val="21"/>
              </w:rPr>
            </w:pPr>
            <w:r>
              <w:rPr>
                <w:rFonts w:ascii="宋体" w:hAnsi="宋体" w:cs="宋体"/>
                <w:szCs w:val="21"/>
              </w:rPr>
              <w:t>1</w:t>
            </w:r>
          </w:p>
        </w:tc>
        <w:tc>
          <w:tcPr>
            <w:tcW w:w="2131" w:type="dxa"/>
          </w:tcPr>
          <w:p>
            <w:pPr>
              <w:numPr>
                <w:ilvl w:val="255"/>
                <w:numId w:val="0"/>
              </w:numPr>
              <w:spacing w:line="360" w:lineRule="auto"/>
              <w:rPr>
                <w:rFonts w:ascii="宋体" w:hAnsi="宋体" w:cs="宋体"/>
                <w:szCs w:val="21"/>
              </w:rPr>
            </w:pPr>
            <w:r>
              <w:rPr>
                <w:rFonts w:ascii="宋体" w:hAnsi="宋体" w:cs="宋体"/>
                <w:szCs w:val="21"/>
              </w:rPr>
              <w:t>0/x</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hint="eastAsia" w:ascii="宋体" w:hAnsi="宋体" w:cs="宋体"/>
                <w:szCs w:val="21"/>
              </w:rPr>
              <w:t>2</w:t>
            </w:r>
          </w:p>
        </w:tc>
        <w:tc>
          <w:tcPr>
            <w:tcW w:w="2131" w:type="dxa"/>
          </w:tcPr>
          <w:p>
            <w:pPr>
              <w:numPr>
                <w:ilvl w:val="255"/>
                <w:numId w:val="0"/>
              </w:numPr>
              <w:spacing w:line="360" w:lineRule="auto"/>
              <w:rPr>
                <w:rFonts w:ascii="宋体" w:hAnsi="宋体" w:cs="宋体"/>
                <w:szCs w:val="21"/>
              </w:rPr>
            </w:pPr>
            <w:r>
              <w:rPr>
                <w:rFonts w:ascii="宋体" w:hAnsi="宋体" w:cs="宋体"/>
                <w:szCs w:val="21"/>
              </w:rPr>
              <w:t>0/x</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Ⅱ期</w:t>
            </w:r>
          </w:p>
        </w:tc>
        <w:tc>
          <w:tcPr>
            <w:tcW w:w="2130" w:type="dxa"/>
          </w:tcPr>
          <w:p>
            <w:pPr>
              <w:numPr>
                <w:ilvl w:val="255"/>
                <w:numId w:val="0"/>
              </w:numPr>
              <w:spacing w:line="360" w:lineRule="auto"/>
              <w:rPr>
                <w:rFonts w:ascii="宋体" w:hAnsi="宋体" w:cs="宋体"/>
                <w:szCs w:val="21"/>
              </w:rPr>
            </w:pPr>
            <w:r>
              <w:rPr>
                <w:rFonts w:ascii="宋体" w:hAnsi="宋体" w:cs="宋体"/>
                <w:szCs w:val="21"/>
              </w:rPr>
              <w:t>1～2</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3a～3b</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Ⅲ期</w:t>
            </w:r>
          </w:p>
        </w:tc>
        <w:tc>
          <w:tcPr>
            <w:tcW w:w="2130" w:type="dxa"/>
          </w:tcPr>
          <w:p>
            <w:pPr>
              <w:numPr>
                <w:ilvl w:val="255"/>
                <w:numId w:val="0"/>
              </w:numPr>
              <w:spacing w:line="360" w:lineRule="auto"/>
              <w:rPr>
                <w:rFonts w:ascii="宋体" w:hAnsi="宋体" w:cs="宋体"/>
                <w:szCs w:val="21"/>
              </w:rPr>
            </w:pPr>
            <w:r>
              <w:rPr>
                <w:rFonts w:ascii="宋体" w:hAnsi="宋体" w:cs="宋体"/>
                <w:szCs w:val="21"/>
              </w:rPr>
              <w:t>4a</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ⅣA期</w:t>
            </w:r>
          </w:p>
        </w:tc>
        <w:tc>
          <w:tcPr>
            <w:tcW w:w="2130" w:type="dxa"/>
          </w:tcPr>
          <w:p>
            <w:pPr>
              <w:numPr>
                <w:ilvl w:val="255"/>
                <w:numId w:val="0"/>
              </w:numPr>
              <w:spacing w:line="360" w:lineRule="auto"/>
              <w:rPr>
                <w:rFonts w:ascii="宋体" w:hAnsi="宋体" w:cs="宋体"/>
                <w:szCs w:val="21"/>
              </w:rPr>
            </w:pPr>
            <w:r>
              <w:rPr>
                <w:rFonts w:ascii="宋体" w:hAnsi="宋体" w:cs="宋体"/>
                <w:szCs w:val="21"/>
              </w:rPr>
              <w:t>4b</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ⅣB期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cs="宋体"/>
                <w:szCs w:val="21"/>
              </w:rPr>
            </w:pPr>
            <w:r>
              <w:rPr>
                <w:rFonts w:ascii="宋体" w:hAnsi="宋体" w:cs="宋体"/>
                <w:szCs w:val="21"/>
              </w:rPr>
              <w:t>髓样癌（所有年龄组）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Ⅰ期</w:t>
            </w:r>
          </w:p>
        </w:tc>
        <w:tc>
          <w:tcPr>
            <w:tcW w:w="2130" w:type="dxa"/>
          </w:tcPr>
          <w:p>
            <w:pPr>
              <w:numPr>
                <w:ilvl w:val="255"/>
                <w:numId w:val="0"/>
              </w:numPr>
              <w:spacing w:line="360" w:lineRule="auto"/>
              <w:rPr>
                <w:rFonts w:ascii="宋体" w:hAnsi="宋体" w:cs="宋体"/>
                <w:szCs w:val="21"/>
              </w:rPr>
            </w:pPr>
            <w:r>
              <w:rPr>
                <w:rFonts w:hint="eastAsia" w:ascii="宋体" w:hAnsi="宋体" w:cs="宋体"/>
                <w:szCs w:val="21"/>
              </w:rPr>
              <w:t>1</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Ⅱ期</w:t>
            </w:r>
          </w:p>
        </w:tc>
        <w:tc>
          <w:tcPr>
            <w:tcW w:w="2130" w:type="dxa"/>
          </w:tcPr>
          <w:p>
            <w:pPr>
              <w:numPr>
                <w:ilvl w:val="255"/>
                <w:numId w:val="0"/>
              </w:numPr>
              <w:spacing w:line="360" w:lineRule="auto"/>
              <w:rPr>
                <w:rFonts w:ascii="宋体" w:hAnsi="宋体" w:cs="宋体"/>
                <w:szCs w:val="21"/>
              </w:rPr>
            </w:pPr>
            <w:r>
              <w:rPr>
                <w:rFonts w:ascii="宋体" w:hAnsi="宋体" w:cs="宋体"/>
                <w:szCs w:val="21"/>
              </w:rPr>
              <w:t>2～3</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Ⅲ期</w:t>
            </w:r>
          </w:p>
        </w:tc>
        <w:tc>
          <w:tcPr>
            <w:tcW w:w="2130" w:type="dxa"/>
          </w:tcPr>
          <w:p>
            <w:pPr>
              <w:numPr>
                <w:ilvl w:val="255"/>
                <w:numId w:val="0"/>
              </w:numPr>
              <w:spacing w:line="360" w:lineRule="auto"/>
              <w:rPr>
                <w:rFonts w:ascii="宋体" w:hAnsi="宋体" w:cs="宋体"/>
                <w:szCs w:val="21"/>
              </w:rPr>
            </w:pPr>
            <w:r>
              <w:rPr>
                <w:rFonts w:ascii="宋体" w:hAnsi="宋体" w:cs="宋体"/>
                <w:szCs w:val="21"/>
              </w:rPr>
              <w:t>1～3</w:t>
            </w:r>
          </w:p>
        </w:tc>
        <w:tc>
          <w:tcPr>
            <w:tcW w:w="2131" w:type="dxa"/>
          </w:tcPr>
          <w:p>
            <w:pPr>
              <w:numPr>
                <w:ilvl w:val="255"/>
                <w:numId w:val="0"/>
              </w:numPr>
              <w:spacing w:line="360" w:lineRule="auto"/>
              <w:rPr>
                <w:rFonts w:ascii="宋体" w:hAnsi="宋体" w:cs="宋体"/>
                <w:szCs w:val="21"/>
              </w:rPr>
            </w:pPr>
            <w:r>
              <w:rPr>
                <w:rFonts w:ascii="宋体" w:hAnsi="宋体" w:cs="宋体"/>
                <w:szCs w:val="21"/>
              </w:rPr>
              <w:t>1a</w:t>
            </w:r>
          </w:p>
        </w:tc>
        <w:tc>
          <w:tcPr>
            <w:tcW w:w="2131" w:type="dxa"/>
          </w:tcPr>
          <w:p>
            <w:pPr>
              <w:numPr>
                <w:ilvl w:val="255"/>
                <w:numId w:val="0"/>
              </w:numPr>
              <w:spacing w:line="360" w:lineRule="auto"/>
              <w:rPr>
                <w:rFonts w:ascii="宋体" w:hAnsi="宋体" w:cs="宋体"/>
                <w:szCs w:val="21"/>
              </w:rPr>
            </w:pPr>
            <w:r>
              <w:rPr>
                <w:rFonts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ⅣA期</w:t>
            </w:r>
          </w:p>
        </w:tc>
        <w:tc>
          <w:tcPr>
            <w:tcW w:w="2130" w:type="dxa"/>
          </w:tcPr>
          <w:p>
            <w:pPr>
              <w:numPr>
                <w:ilvl w:val="255"/>
                <w:numId w:val="0"/>
              </w:numPr>
              <w:spacing w:line="360" w:lineRule="auto"/>
              <w:rPr>
                <w:rFonts w:ascii="宋体" w:hAnsi="宋体" w:cs="宋体"/>
                <w:szCs w:val="21"/>
              </w:rPr>
            </w:pPr>
            <w:r>
              <w:rPr>
                <w:rFonts w:ascii="宋体" w:hAnsi="宋体" w:cs="宋体"/>
                <w:szCs w:val="21"/>
              </w:rPr>
              <w:t>4a</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1～3</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1b</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ⅣB期</w:t>
            </w:r>
          </w:p>
        </w:tc>
        <w:tc>
          <w:tcPr>
            <w:tcW w:w="2130" w:type="dxa"/>
          </w:tcPr>
          <w:p>
            <w:pPr>
              <w:numPr>
                <w:ilvl w:val="255"/>
                <w:numId w:val="0"/>
              </w:numPr>
              <w:spacing w:line="360" w:lineRule="auto"/>
              <w:rPr>
                <w:rFonts w:ascii="宋体" w:hAnsi="宋体" w:cs="宋体"/>
                <w:szCs w:val="21"/>
              </w:rPr>
            </w:pPr>
            <w:r>
              <w:rPr>
                <w:rFonts w:ascii="宋体" w:hAnsi="宋体" w:cs="宋体"/>
                <w:szCs w:val="21"/>
              </w:rPr>
              <w:t>4b</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ⅣC期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cs="宋体"/>
                <w:szCs w:val="21"/>
              </w:rPr>
            </w:pPr>
            <w:r>
              <w:rPr>
                <w:rFonts w:ascii="宋体" w:hAnsi="宋体" w:cs="宋体"/>
                <w:szCs w:val="21"/>
              </w:rPr>
              <w:t>未分化癌（所有年龄组）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ⅣA期</w:t>
            </w:r>
          </w:p>
        </w:tc>
        <w:tc>
          <w:tcPr>
            <w:tcW w:w="2130" w:type="dxa"/>
          </w:tcPr>
          <w:p>
            <w:pPr>
              <w:numPr>
                <w:ilvl w:val="255"/>
                <w:numId w:val="0"/>
              </w:numPr>
              <w:spacing w:line="360" w:lineRule="auto"/>
              <w:rPr>
                <w:rFonts w:ascii="宋体" w:hAnsi="宋体" w:cs="宋体"/>
                <w:szCs w:val="21"/>
              </w:rPr>
            </w:pPr>
            <w:r>
              <w:rPr>
                <w:rFonts w:ascii="宋体" w:hAnsi="宋体" w:cs="宋体"/>
                <w:szCs w:val="21"/>
              </w:rPr>
              <w:t>1～3a</w:t>
            </w:r>
          </w:p>
        </w:tc>
        <w:tc>
          <w:tcPr>
            <w:tcW w:w="2131" w:type="dxa"/>
          </w:tcPr>
          <w:p>
            <w:pPr>
              <w:numPr>
                <w:ilvl w:val="255"/>
                <w:numId w:val="0"/>
              </w:numPr>
              <w:spacing w:line="360" w:lineRule="auto"/>
              <w:rPr>
                <w:rFonts w:ascii="宋体" w:hAnsi="宋体" w:cs="宋体"/>
                <w:szCs w:val="21"/>
              </w:rPr>
            </w:pPr>
            <w:r>
              <w:rPr>
                <w:rFonts w:ascii="宋体" w:hAnsi="宋体" w:cs="宋体"/>
                <w:szCs w:val="21"/>
              </w:rPr>
              <w:t>0/x</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ⅣB期</w:t>
            </w:r>
          </w:p>
        </w:tc>
        <w:tc>
          <w:tcPr>
            <w:tcW w:w="2130" w:type="dxa"/>
          </w:tcPr>
          <w:p>
            <w:pPr>
              <w:numPr>
                <w:ilvl w:val="255"/>
                <w:numId w:val="0"/>
              </w:numPr>
              <w:spacing w:line="360" w:lineRule="auto"/>
              <w:rPr>
                <w:rFonts w:ascii="宋体" w:hAnsi="宋体" w:cs="宋体"/>
                <w:szCs w:val="21"/>
              </w:rPr>
            </w:pPr>
            <w:r>
              <w:rPr>
                <w:rFonts w:ascii="宋体" w:hAnsi="宋体" w:cs="宋体"/>
                <w:szCs w:val="21"/>
              </w:rPr>
              <w:t>1～3a</w:t>
            </w:r>
          </w:p>
        </w:tc>
        <w:tc>
          <w:tcPr>
            <w:tcW w:w="2131" w:type="dxa"/>
          </w:tcPr>
          <w:p>
            <w:pPr>
              <w:numPr>
                <w:ilvl w:val="255"/>
                <w:numId w:val="0"/>
              </w:numPr>
              <w:spacing w:line="360" w:lineRule="auto"/>
              <w:rPr>
                <w:rFonts w:ascii="宋体" w:hAnsi="宋体" w:cs="宋体"/>
                <w:szCs w:val="21"/>
              </w:rPr>
            </w:pPr>
            <w:r>
              <w:rPr>
                <w:rFonts w:ascii="宋体" w:hAnsi="宋体" w:cs="宋体"/>
                <w:szCs w:val="21"/>
              </w:rPr>
              <w:t>1</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3b～4</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ⅣC期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bl>
    <w:p>
      <w:pPr>
        <w:numPr>
          <w:ilvl w:val="255"/>
          <w:numId w:val="0"/>
        </w:numPr>
        <w:adjustRightInd w:val="0"/>
        <w:snapToGrid w:val="0"/>
        <w:spacing w:line="360" w:lineRule="auto"/>
        <w:ind w:firstLine="420" w:firstLineChars="200"/>
        <w:rPr>
          <w:rFonts w:ascii="宋体" w:hAnsi="宋体" w:cs="宋体"/>
          <w:szCs w:val="21"/>
        </w:rPr>
      </w:pPr>
      <w:r>
        <w:rPr>
          <w:rFonts w:ascii="宋体" w:hAnsi="宋体" w:cs="宋体"/>
          <w:szCs w:val="21"/>
        </w:rPr>
        <w:t>注：以上表格中“年龄”指患者病理组织标本获取日期时的年龄。</w:t>
      </w:r>
    </w:p>
    <w:p>
      <w:pPr>
        <w:numPr>
          <w:ilvl w:val="0"/>
          <w:numId w:val="1"/>
        </w:numPr>
        <w:spacing w:line="360" w:lineRule="auto"/>
        <w:ind w:firstLine="422" w:firstLineChars="200"/>
        <w:rPr>
          <w:rFonts w:asciiTheme="minorEastAsia" w:hAnsiTheme="minorEastAsia" w:cstheme="minorEastAsia"/>
          <w:b/>
          <w:bCs/>
          <w:szCs w:val="21"/>
        </w:rPr>
      </w:pPr>
      <w:r>
        <w:rPr>
          <w:rFonts w:hint="eastAsia" w:asciiTheme="minorEastAsia" w:hAnsiTheme="minorEastAsia" w:cstheme="minorEastAsia"/>
          <w:b/>
          <w:bCs/>
          <w:szCs w:val="21"/>
        </w:rPr>
        <w:t>RECIST</w:t>
      </w:r>
    </w:p>
    <w:p>
      <w:pPr>
        <w:numPr>
          <w:ilvl w:val="255"/>
          <w:numId w:val="0"/>
        </w:numPr>
        <w:spacing w:line="360" w:lineRule="auto"/>
        <w:ind w:firstLine="420" w:firstLineChars="200"/>
        <w:rPr>
          <w:rFonts w:asciiTheme="minorEastAsia" w:hAnsiTheme="minorEastAsia" w:cstheme="minorEastAsia"/>
          <w:szCs w:val="21"/>
        </w:rPr>
      </w:pPr>
      <w:r>
        <w:rPr>
          <w:rFonts w:hint="eastAsia" w:asciiTheme="minorEastAsia" w:hAnsiTheme="minorEastAsia" w:cstheme="minorEastAsia"/>
          <w:szCs w:val="21"/>
        </w:rPr>
        <w:t>指以影像学、解剖学为基础的肿瘤负荷评价标准，由临床研究者、制药行业、影像学专家、美国国立癌症研究所(NCI)、加拿大国立癌症研究所(NCIC)、英国癌症研究网络(NCRN)、欧洲癌症研究和治疗组织(EORTC)共同制定，为国际通行的针对实体肿瘤的疗效评价的标准。</w:t>
      </w:r>
    </w:p>
    <w:p>
      <w:pPr>
        <w:widowControl/>
        <w:numPr>
          <w:ilvl w:val="0"/>
          <w:numId w:val="1"/>
        </w:numPr>
        <w:spacing w:line="360" w:lineRule="auto"/>
        <w:ind w:firstLine="422" w:firstLineChars="200"/>
        <w:jc w:val="left"/>
        <w:rPr>
          <w:rFonts w:asciiTheme="minorEastAsia" w:hAnsiTheme="minorEastAsia" w:cstheme="minorEastAsia"/>
          <w:b/>
          <w:bCs/>
          <w:szCs w:val="21"/>
        </w:rPr>
      </w:pPr>
      <w:r>
        <w:rPr>
          <w:rFonts w:hint="eastAsia" w:asciiTheme="minorEastAsia" w:hAnsiTheme="minorEastAsia" w:cstheme="minorEastAsia"/>
          <w:b/>
          <w:bCs/>
          <w:szCs w:val="21"/>
        </w:rPr>
        <w:t>相关专业机构</w:t>
      </w:r>
    </w:p>
    <w:p>
      <w:pPr>
        <w:widowControl/>
        <w:numPr>
          <w:ilvl w:val="255"/>
          <w:numId w:val="0"/>
        </w:numPr>
        <w:spacing w:line="360" w:lineRule="auto"/>
        <w:ind w:firstLine="420" w:firstLineChars="200"/>
        <w:jc w:val="left"/>
        <w:rPr>
          <w:rFonts w:asciiTheme="minorEastAsia" w:hAnsiTheme="minorEastAsia" w:cstheme="minorEastAsia"/>
          <w:szCs w:val="21"/>
        </w:rPr>
      </w:pPr>
      <w:r>
        <w:rPr>
          <w:rFonts w:hint="eastAsia" w:asciiTheme="minorEastAsia" w:hAnsiTheme="minorEastAsia" w:cstheme="minorEastAsia"/>
          <w:szCs w:val="21"/>
        </w:rPr>
        <w:t>包括：中国临床肿瘤学会（CSCO）、中华医学会血液学分会、中国抗癌协会血液肿瘤专业委员会、美国国家综合癌症网络（NCCN）等。</w:t>
      </w:r>
      <w:r>
        <w:rPr>
          <w:rFonts w:asciiTheme="minorEastAsia" w:hAnsiTheme="minorEastAsia" w:cstheme="minorEastAsia"/>
          <w:kern w:val="0"/>
          <w:szCs w:val="21"/>
          <w:lang w:bidi="ar"/>
        </w:rPr>
        <w:t xml:space="preserve"> </w:t>
      </w:r>
    </w:p>
    <w:p>
      <w:pPr>
        <w:numPr>
          <w:ilvl w:val="255"/>
          <w:numId w:val="0"/>
        </w:numPr>
        <w:adjustRightInd w:val="0"/>
        <w:snapToGrid w:val="0"/>
        <w:spacing w:line="360" w:lineRule="auto"/>
        <w:ind w:firstLine="420" w:firstLineChars="200"/>
        <w:rPr>
          <w:rFonts w:ascii="宋体" w:hAnsi="宋体" w:cs="宋体"/>
          <w:szCs w:val="21"/>
        </w:rPr>
      </w:pPr>
    </w:p>
    <w:p>
      <w:pPr>
        <w:pStyle w:val="7"/>
        <w:widowControl/>
        <w:adjustRightInd w:val="0"/>
        <w:snapToGrid w:val="0"/>
        <w:spacing w:after="156" w:afterLines="50"/>
        <w:ind w:firstLine="420" w:firstLineChars="200"/>
        <w:rPr>
          <w:sz w:val="21"/>
          <w:szCs w:val="21"/>
          <w:lang w:bidi="ar"/>
        </w:rPr>
      </w:pPr>
      <w:r>
        <w:rPr>
          <w:rFonts w:hint="eastAsia"/>
          <w:sz w:val="21"/>
          <w:szCs w:val="21"/>
          <w:lang w:bidi="ar"/>
        </w:rPr>
        <w:t>本附加合同中无明确“释义”的词语，均以该词语在主险合同中的释义为准。</w:t>
      </w:r>
    </w:p>
    <w:p>
      <w:pPr>
        <w:pStyle w:val="19"/>
        <w:spacing w:line="300" w:lineRule="auto"/>
        <w:ind w:left="0" w:leftChars="0" w:firstLine="0" w:firstLineChars="0"/>
        <w:rPr>
          <w:rFonts w:asciiTheme="minorEastAsia" w:hAnsiTheme="minorEastAsia" w:eastAsiaTheme="minorEastAsia" w:cstheme="minorEastAsia"/>
          <w:szCs w:val="21"/>
        </w:rPr>
      </w:pPr>
    </w:p>
    <w:p>
      <w:pPr>
        <w:pStyle w:val="19"/>
        <w:spacing w:line="360" w:lineRule="auto"/>
        <w:ind w:left="0" w:leftChars="0"/>
        <w:rPr>
          <w:rFonts w:ascii="宋体" w:hAnsi="宋体" w:cs="宋体"/>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ED7E22A"/>
    <w:multiLevelType w:val="singleLevel"/>
    <w:tmpl w:val="7ED7E22A"/>
    <w:lvl w:ilvl="0" w:tentative="0">
      <w:start w:val="2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jODczYWEyMTU5ZmYyOTc1OWI4MGRlNDBhNWJjMDMifQ=="/>
  </w:docVars>
  <w:rsids>
    <w:rsidRoot w:val="00DB5121"/>
    <w:rsid w:val="000046FE"/>
    <w:rsid w:val="00040F16"/>
    <w:rsid w:val="00066205"/>
    <w:rsid w:val="00093776"/>
    <w:rsid w:val="00097D6D"/>
    <w:rsid w:val="000F4443"/>
    <w:rsid w:val="00132EE8"/>
    <w:rsid w:val="00143544"/>
    <w:rsid w:val="001536A8"/>
    <w:rsid w:val="0016593E"/>
    <w:rsid w:val="001A28AF"/>
    <w:rsid w:val="001C5F81"/>
    <w:rsid w:val="001D6070"/>
    <w:rsid w:val="002017D9"/>
    <w:rsid w:val="0025716F"/>
    <w:rsid w:val="0026337F"/>
    <w:rsid w:val="00285032"/>
    <w:rsid w:val="0029068F"/>
    <w:rsid w:val="00310753"/>
    <w:rsid w:val="00324D8A"/>
    <w:rsid w:val="0037552E"/>
    <w:rsid w:val="003A412E"/>
    <w:rsid w:val="00454EC6"/>
    <w:rsid w:val="00471554"/>
    <w:rsid w:val="00480B20"/>
    <w:rsid w:val="004840DD"/>
    <w:rsid w:val="0049421C"/>
    <w:rsid w:val="004C7AD2"/>
    <w:rsid w:val="004D2D30"/>
    <w:rsid w:val="00546A9B"/>
    <w:rsid w:val="0057536E"/>
    <w:rsid w:val="00584046"/>
    <w:rsid w:val="005B104A"/>
    <w:rsid w:val="005E1D3A"/>
    <w:rsid w:val="005E5FD1"/>
    <w:rsid w:val="005F748C"/>
    <w:rsid w:val="006370EF"/>
    <w:rsid w:val="006758C4"/>
    <w:rsid w:val="006C68C4"/>
    <w:rsid w:val="006F5F17"/>
    <w:rsid w:val="0070343A"/>
    <w:rsid w:val="00727135"/>
    <w:rsid w:val="00791AB6"/>
    <w:rsid w:val="007C5B99"/>
    <w:rsid w:val="00807178"/>
    <w:rsid w:val="00813A52"/>
    <w:rsid w:val="008B61AF"/>
    <w:rsid w:val="008C05EA"/>
    <w:rsid w:val="009227AA"/>
    <w:rsid w:val="0095304C"/>
    <w:rsid w:val="00970B82"/>
    <w:rsid w:val="00974C4D"/>
    <w:rsid w:val="00991552"/>
    <w:rsid w:val="00A30E51"/>
    <w:rsid w:val="00A62CBE"/>
    <w:rsid w:val="00A70183"/>
    <w:rsid w:val="00AF2657"/>
    <w:rsid w:val="00B10AAB"/>
    <w:rsid w:val="00B115C3"/>
    <w:rsid w:val="00B466E8"/>
    <w:rsid w:val="00B504DE"/>
    <w:rsid w:val="00BA50AF"/>
    <w:rsid w:val="00BB2374"/>
    <w:rsid w:val="00BB2C6D"/>
    <w:rsid w:val="00BE3058"/>
    <w:rsid w:val="00C34A2D"/>
    <w:rsid w:val="00C43AEB"/>
    <w:rsid w:val="00C50AAD"/>
    <w:rsid w:val="00C70F4C"/>
    <w:rsid w:val="00CB6EFB"/>
    <w:rsid w:val="00CD07E7"/>
    <w:rsid w:val="00D278B2"/>
    <w:rsid w:val="00D33D34"/>
    <w:rsid w:val="00D36E84"/>
    <w:rsid w:val="00D41DDD"/>
    <w:rsid w:val="00D45003"/>
    <w:rsid w:val="00D61642"/>
    <w:rsid w:val="00D97598"/>
    <w:rsid w:val="00DB2D0C"/>
    <w:rsid w:val="00DB5121"/>
    <w:rsid w:val="00DE01D9"/>
    <w:rsid w:val="00E04552"/>
    <w:rsid w:val="00E74E08"/>
    <w:rsid w:val="00E814F0"/>
    <w:rsid w:val="00EA1035"/>
    <w:rsid w:val="00EA1E7B"/>
    <w:rsid w:val="00EB5F3F"/>
    <w:rsid w:val="00EC0DBC"/>
    <w:rsid w:val="00EF3D39"/>
    <w:rsid w:val="00F9766A"/>
    <w:rsid w:val="00FC2076"/>
    <w:rsid w:val="0420049C"/>
    <w:rsid w:val="0BBA02DE"/>
    <w:rsid w:val="12523D5D"/>
    <w:rsid w:val="19876300"/>
    <w:rsid w:val="1B0D071E"/>
    <w:rsid w:val="1F5A38DB"/>
    <w:rsid w:val="24791377"/>
    <w:rsid w:val="2CCB1F53"/>
    <w:rsid w:val="2D9E0B6C"/>
    <w:rsid w:val="2FD12EF8"/>
    <w:rsid w:val="31224F9C"/>
    <w:rsid w:val="32816AF3"/>
    <w:rsid w:val="349A010E"/>
    <w:rsid w:val="38A31AAC"/>
    <w:rsid w:val="3F552DD8"/>
    <w:rsid w:val="3F8B2948"/>
    <w:rsid w:val="40EA468B"/>
    <w:rsid w:val="42FB24AB"/>
    <w:rsid w:val="47904EED"/>
    <w:rsid w:val="49215478"/>
    <w:rsid w:val="51D22DEB"/>
    <w:rsid w:val="53345692"/>
    <w:rsid w:val="540D4679"/>
    <w:rsid w:val="54D6478A"/>
    <w:rsid w:val="5F6D5DC1"/>
    <w:rsid w:val="62547028"/>
    <w:rsid w:val="64292A3F"/>
    <w:rsid w:val="661C2D6C"/>
    <w:rsid w:val="68B02090"/>
    <w:rsid w:val="68E86ED7"/>
    <w:rsid w:val="69740D8F"/>
    <w:rsid w:val="775514D7"/>
    <w:rsid w:val="7EC54FB2"/>
    <w:rsid w:val="8EBFA49E"/>
    <w:rsid w:val="CBD58575"/>
    <w:rsid w:val="FF470516"/>
    <w:rsid w:val="FFF7DE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3"/>
    <w:unhideWhenUsed/>
    <w:qFormat/>
    <w:uiPriority w:val="99"/>
    <w:pPr>
      <w:spacing w:after="160" w:line="259" w:lineRule="auto"/>
      <w:jc w:val="left"/>
    </w:pPr>
    <w:rPr>
      <w:rFonts w:ascii="Calibri" w:hAnsi="Calibri" w:eastAsia="宋体" w:cs="Times New Roman"/>
      <w:szCs w:val="22"/>
    </w:rPr>
  </w:style>
  <w:style w:type="paragraph" w:styleId="3">
    <w:name w:val="Body Text Indent"/>
    <w:basedOn w:val="1"/>
    <w:unhideWhenUsed/>
    <w:qFormat/>
    <w:uiPriority w:val="99"/>
    <w:pPr>
      <w:ind w:firstLine="360"/>
    </w:pPr>
    <w:rPr>
      <w:szCs w:val="20"/>
    </w:rPr>
  </w:style>
  <w:style w:type="paragraph" w:styleId="4">
    <w:name w:val="Balloon Text"/>
    <w:basedOn w:val="1"/>
    <w:link w:val="16"/>
    <w:qFormat/>
    <w:uiPriority w:val="0"/>
    <w:rPr>
      <w:sz w:val="18"/>
      <w:szCs w:val="18"/>
    </w:rPr>
  </w:style>
  <w:style w:type="paragraph" w:styleId="5">
    <w:name w:val="footer"/>
    <w:basedOn w:val="1"/>
    <w:link w:val="22"/>
    <w:qFormat/>
    <w:uiPriority w:val="0"/>
    <w:pPr>
      <w:tabs>
        <w:tab w:val="center" w:pos="4153"/>
        <w:tab w:val="right" w:pos="8306"/>
      </w:tabs>
      <w:snapToGrid w:val="0"/>
      <w:jc w:val="left"/>
    </w:pPr>
    <w:rPr>
      <w:sz w:val="18"/>
      <w:szCs w:val="18"/>
    </w:rPr>
  </w:style>
  <w:style w:type="paragraph" w:styleId="6">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rPr>
      <w:sz w:val="24"/>
    </w:rPr>
  </w:style>
  <w:style w:type="paragraph" w:styleId="8">
    <w:name w:val="annotation subject"/>
    <w:basedOn w:val="2"/>
    <w:next w:val="2"/>
    <w:link w:val="25"/>
    <w:qFormat/>
    <w:uiPriority w:val="0"/>
    <w:pPr>
      <w:spacing w:after="0" w:line="240" w:lineRule="auto"/>
    </w:pPr>
    <w:rPr>
      <w:rFonts w:asciiTheme="minorHAnsi" w:hAnsiTheme="minorHAnsi" w:eastAsiaTheme="minorEastAsia" w:cstheme="minorBidi"/>
      <w:b/>
      <w:bCs/>
      <w:szCs w:val="24"/>
    </w:rPr>
  </w:style>
  <w:style w:type="table" w:styleId="10">
    <w:name w:val="Table Grid"/>
    <w:basedOn w:val="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Emphasis"/>
    <w:basedOn w:val="11"/>
    <w:qFormat/>
    <w:uiPriority w:val="20"/>
    <w:rPr>
      <w:i/>
    </w:rPr>
  </w:style>
  <w:style w:type="character" w:styleId="13">
    <w:name w:val="annotation reference"/>
    <w:basedOn w:val="11"/>
    <w:unhideWhenUsed/>
    <w:qFormat/>
    <w:uiPriority w:val="99"/>
    <w:rPr>
      <w:sz w:val="16"/>
      <w:szCs w:val="16"/>
    </w:rPr>
  </w:style>
  <w:style w:type="paragraph" w:customStyle="1" w:styleId="14">
    <w:name w:val="_Style 1"/>
    <w:basedOn w:val="1"/>
    <w:qFormat/>
    <w:uiPriority w:val="34"/>
    <w:pPr>
      <w:ind w:firstLine="420" w:firstLineChars="200"/>
    </w:pPr>
    <w:rPr>
      <w:rFonts w:ascii="Calibri" w:hAnsi="Calibri"/>
      <w:szCs w:val="22"/>
    </w:rPr>
  </w:style>
  <w:style w:type="paragraph" w:customStyle="1" w:styleId="15">
    <w:name w:val="msolistparagraph"/>
    <w:basedOn w:val="1"/>
    <w:qFormat/>
    <w:uiPriority w:val="0"/>
    <w:pPr>
      <w:widowControl/>
      <w:ind w:firstLine="420"/>
    </w:pPr>
    <w:rPr>
      <w:rFonts w:ascii="Calibri" w:hAnsi="Calibri" w:eastAsia="宋体" w:cs="Times New Roman"/>
      <w:kern w:val="0"/>
      <w:szCs w:val="21"/>
    </w:rPr>
  </w:style>
  <w:style w:type="character" w:customStyle="1" w:styleId="16">
    <w:name w:val="批注框文本 字符"/>
    <w:basedOn w:val="11"/>
    <w:link w:val="4"/>
    <w:qFormat/>
    <w:uiPriority w:val="0"/>
    <w:rPr>
      <w:rFonts w:asciiTheme="minorHAnsi" w:hAnsiTheme="minorHAnsi" w:cstheme="minorBidi"/>
      <w:kern w:val="2"/>
      <w:sz w:val="18"/>
      <w:szCs w:val="18"/>
    </w:rPr>
  </w:style>
  <w:style w:type="paragraph" w:customStyle="1" w:styleId="17">
    <w:name w:val="列出段落1"/>
    <w:basedOn w:val="1"/>
    <w:qFormat/>
    <w:uiPriority w:val="34"/>
    <w:pPr>
      <w:ind w:firstLine="420" w:firstLineChars="200"/>
    </w:pPr>
    <w:rPr>
      <w:rFonts w:ascii="Calibri" w:hAnsi="Calibri" w:eastAsia="宋体" w:cs="Times New Roman"/>
      <w:szCs w:val="22"/>
    </w:rPr>
  </w:style>
  <w:style w:type="paragraph" w:customStyle="1" w:styleId="18">
    <w:name w:val="List Paragraph2"/>
    <w:basedOn w:val="1"/>
    <w:qFormat/>
    <w:uiPriority w:val="99"/>
    <w:pPr>
      <w:ind w:firstLine="420"/>
    </w:pPr>
    <w:rPr>
      <w:rFonts w:ascii="Calibri" w:hAnsi="Calibri" w:eastAsia="宋体" w:cs="Times New Roman"/>
      <w:szCs w:val="20"/>
    </w:rPr>
  </w:style>
  <w:style w:type="paragraph" w:customStyle="1" w:styleId="19">
    <w:name w:val="条款正文"/>
    <w:basedOn w:val="1"/>
    <w:qFormat/>
    <w:uiPriority w:val="0"/>
    <w:pPr>
      <w:adjustRightInd w:val="0"/>
      <w:snapToGrid w:val="0"/>
      <w:spacing w:after="160" w:line="259" w:lineRule="auto"/>
      <w:ind w:left="840" w:leftChars="400" w:firstLine="420" w:firstLineChars="200"/>
    </w:pPr>
    <w:rPr>
      <w:rFonts w:ascii="Times New Roman" w:hAnsi="Times New Roman" w:eastAsia="宋体" w:cs="Times New Roman"/>
    </w:rPr>
  </w:style>
  <w:style w:type="paragraph" w:customStyle="1" w:styleId="20">
    <w:name w:val="列出段落11"/>
    <w:basedOn w:val="1"/>
    <w:qFormat/>
    <w:uiPriority w:val="34"/>
    <w:pPr>
      <w:spacing w:after="160" w:line="259" w:lineRule="auto"/>
      <w:ind w:firstLine="420" w:firstLineChars="200"/>
    </w:pPr>
    <w:rPr>
      <w:rFonts w:ascii="Calibri" w:hAnsi="Calibri" w:eastAsia="宋体" w:cs="Times New Roman"/>
      <w:szCs w:val="22"/>
    </w:rPr>
  </w:style>
  <w:style w:type="character" w:customStyle="1" w:styleId="21">
    <w:name w:val="页眉 字符"/>
    <w:basedOn w:val="11"/>
    <w:link w:val="6"/>
    <w:qFormat/>
    <w:uiPriority w:val="0"/>
    <w:rPr>
      <w:rFonts w:asciiTheme="minorHAnsi" w:hAnsiTheme="minorHAnsi" w:cstheme="minorBidi"/>
      <w:kern w:val="2"/>
      <w:sz w:val="18"/>
      <w:szCs w:val="18"/>
    </w:rPr>
  </w:style>
  <w:style w:type="character" w:customStyle="1" w:styleId="22">
    <w:name w:val="页脚 字符"/>
    <w:basedOn w:val="11"/>
    <w:link w:val="5"/>
    <w:qFormat/>
    <w:uiPriority w:val="0"/>
    <w:rPr>
      <w:rFonts w:asciiTheme="minorHAnsi" w:hAnsiTheme="minorHAnsi" w:cstheme="minorBidi"/>
      <w:kern w:val="2"/>
      <w:sz w:val="18"/>
      <w:szCs w:val="18"/>
    </w:rPr>
  </w:style>
  <w:style w:type="character" w:customStyle="1" w:styleId="23">
    <w:name w:val="批注文字 字符"/>
    <w:basedOn w:val="11"/>
    <w:link w:val="2"/>
    <w:qFormat/>
    <w:uiPriority w:val="99"/>
    <w:rPr>
      <w:rFonts w:ascii="Calibri" w:hAnsi="Calibri" w:eastAsia="宋体"/>
      <w:kern w:val="2"/>
      <w:sz w:val="21"/>
      <w:szCs w:val="22"/>
    </w:rPr>
  </w:style>
  <w:style w:type="paragraph" w:customStyle="1" w:styleId="24">
    <w:name w:val="Table Paragraph"/>
    <w:basedOn w:val="1"/>
    <w:qFormat/>
    <w:uiPriority w:val="1"/>
    <w:pPr>
      <w:spacing w:before="22"/>
      <w:ind w:left="112"/>
    </w:pPr>
    <w:rPr>
      <w:rFonts w:ascii="仿宋" w:hAnsi="仿宋" w:eastAsia="仿宋" w:cs="仿宋"/>
      <w:lang w:val="zh-CN" w:bidi="zh-CN"/>
    </w:rPr>
  </w:style>
  <w:style w:type="character" w:customStyle="1" w:styleId="25">
    <w:name w:val="批注主题 字符"/>
    <w:basedOn w:val="23"/>
    <w:link w:val="8"/>
    <w:qFormat/>
    <w:uiPriority w:val="0"/>
    <w:rPr>
      <w:rFonts w:asciiTheme="minorHAnsi" w:hAnsiTheme="minorHAnsi" w:eastAsiaTheme="minorEastAsia" w:cstheme="minorBidi"/>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12</Pages>
  <Words>8634</Words>
  <Characters>9052</Characters>
  <Lines>66</Lines>
  <Paragraphs>18</Paragraphs>
  <TotalTime>90</TotalTime>
  <ScaleCrop>false</ScaleCrop>
  <LinksUpToDate>false</LinksUpToDate>
  <CharactersWithSpaces>9131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2020-12-18T13:35:00Z</dcterms:created>
  <dc:creator>caoln</dc:creator>
  <cp:lastModifiedBy>10568</cp:lastModifiedBy>
  <dcterms:modified xsi:type="dcterms:W3CDTF">2023-07-10T04:12:14Z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648993FC25394A90840A5D4605E119FB</vt:lpwstr>
  </property>
</Properties>
</file>