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7"/>
        <w:spacing w:after="0" w:line="360" w:lineRule="auto"/>
        <w:ind w:left="0" w:leftChars="0" w:firstLine="0" w:firstLineChars="0"/>
        <w:jc w:val="center"/>
        <w:outlineLvl w:val="0"/>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华农财产保险股份有限公司</w:t>
      </w:r>
    </w:p>
    <w:p>
      <w:pPr>
        <w:pStyle w:val="17"/>
        <w:spacing w:after="0" w:line="360" w:lineRule="auto"/>
        <w:ind w:left="0" w:leftChars="0" w:firstLine="0" w:firstLineChars="0"/>
        <w:jc w:val="center"/>
        <w:outlineLvl w:val="0"/>
        <w:rPr>
          <w:rFonts w:cs="宋体" w:asciiTheme="majorEastAsia" w:hAnsiTheme="majorEastAsia" w:eastAsiaTheme="majorEastAsia"/>
          <w:b/>
          <w:sz w:val="28"/>
          <w:szCs w:val="28"/>
        </w:rPr>
      </w:pPr>
      <w:r>
        <w:rPr>
          <w:rFonts w:hint="eastAsia" w:cs="宋体" w:asciiTheme="majorEastAsia" w:hAnsiTheme="majorEastAsia" w:eastAsiaTheme="majorEastAsia"/>
          <w:b/>
          <w:sz w:val="28"/>
          <w:szCs w:val="28"/>
        </w:rPr>
        <w:t>附加手术医疗意外伤害保险条款（互联网专属）</w:t>
      </w:r>
    </w:p>
    <w:p>
      <w:pPr>
        <w:pStyle w:val="17"/>
        <w:spacing w:before="156" w:beforeLines="50" w:after="0" w:line="360" w:lineRule="auto"/>
        <w:ind w:left="0" w:leftChars="0" w:firstLine="0" w:firstLineChars="0"/>
        <w:jc w:val="center"/>
        <w:outlineLvl w:val="0"/>
        <w:rPr>
          <w:rFonts w:hint="default" w:ascii="宋体" w:hAnsi="宋体" w:cs="宋体"/>
          <w:b/>
          <w:szCs w:val="21"/>
          <w:lang w:val="en-US" w:eastAsia="zh-CN"/>
        </w:rPr>
      </w:pPr>
      <w:bookmarkStart w:id="0" w:name="_Hlk27817781"/>
      <w:r>
        <w:rPr>
          <w:rFonts w:hint="eastAsia" w:ascii="宋体" w:hAnsi="宋体" w:cs="宋体"/>
          <w:b/>
          <w:szCs w:val="21"/>
          <w:lang w:val="en-US" w:eastAsia="zh-CN"/>
        </w:rPr>
        <w:t>注册编号</w:t>
      </w:r>
      <w:bookmarkStart w:id="6" w:name="_GoBack"/>
      <w:r>
        <w:rPr>
          <w:rFonts w:hint="eastAsia" w:ascii="宋体" w:hAnsi="宋体" w:cs="宋体"/>
          <w:b/>
          <w:szCs w:val="21"/>
          <w:lang w:val="en-US" w:eastAsia="zh-CN"/>
        </w:rPr>
        <w:t>：C000101134022023030337303</w:t>
      </w:r>
    </w:p>
    <w:bookmarkEnd w:id="6"/>
    <w:p>
      <w:pPr>
        <w:pStyle w:val="17"/>
        <w:spacing w:before="156" w:beforeLines="50" w:after="0" w:line="360" w:lineRule="auto"/>
        <w:ind w:left="0" w:leftChars="0" w:firstLine="0" w:firstLineChars="0"/>
        <w:jc w:val="center"/>
        <w:outlineLvl w:val="0"/>
        <w:rPr>
          <w:rFonts w:ascii="宋体" w:hAnsi="宋体" w:cs="宋体"/>
          <w:b/>
          <w:szCs w:val="21"/>
        </w:rPr>
      </w:pPr>
      <w:r>
        <w:rPr>
          <w:rFonts w:hint="eastAsia" w:ascii="宋体" w:hAnsi="宋体" w:cs="宋体"/>
          <w:b/>
          <w:szCs w:val="21"/>
        </w:rPr>
        <w:t>总则</w:t>
      </w:r>
    </w:p>
    <w:p>
      <w:pPr>
        <w:pStyle w:val="30"/>
        <w:autoSpaceDE w:val="0"/>
        <w:autoSpaceDN w:val="0"/>
        <w:adjustRightInd w:val="0"/>
        <w:spacing w:line="360" w:lineRule="auto"/>
        <w:ind w:firstLine="422" w:firstLineChars="200"/>
        <w:jc w:val="left"/>
        <w:rPr>
          <w:rFonts w:ascii="宋体" w:hAnsi="宋体" w:cs="宋体"/>
        </w:rPr>
      </w:pPr>
      <w:r>
        <w:rPr>
          <w:rFonts w:hint="eastAsia" w:ascii="宋体" w:hAnsi="宋体" w:cs="宋体"/>
          <w:b/>
          <w:bCs/>
        </w:rPr>
        <w:t>第一条</w:t>
      </w:r>
      <w:r>
        <w:rPr>
          <w:rFonts w:ascii="宋体" w:hAnsi="宋体" w:cs="宋体"/>
          <w:b/>
          <w:bCs/>
        </w:rPr>
        <w:t xml:space="preserve"> </w:t>
      </w:r>
      <w:r>
        <w:rPr>
          <w:rFonts w:hint="eastAsia" w:ascii="宋体" w:hAnsi="宋体" w:cs="宋体"/>
        </w:rPr>
        <w:t>本附加险合同（以下简称“本附加合同”）可附加于华农财产保险股份有限公司的互联网专属手术医疗险合同（以下简称“主险合同”）上。在投保华农财产保险股份有限公司互联网专属手术医疗险合同的基础上，投保人可以投保本附加险。</w:t>
      </w:r>
    </w:p>
    <w:p>
      <w:pPr>
        <w:pStyle w:val="30"/>
        <w:autoSpaceDE w:val="0"/>
        <w:autoSpaceDN w:val="0"/>
        <w:adjustRightInd w:val="0"/>
        <w:spacing w:line="360" w:lineRule="auto"/>
        <w:ind w:firstLine="422" w:firstLineChars="200"/>
        <w:jc w:val="left"/>
        <w:rPr>
          <w:rFonts w:ascii="宋体" w:hAnsi="宋体" w:cs="宋体"/>
          <w:b/>
        </w:rPr>
      </w:pPr>
      <w:r>
        <w:rPr>
          <w:rFonts w:hint="eastAsia" w:ascii="宋体" w:hAnsi="宋体" w:cs="宋体"/>
          <w:b/>
        </w:rPr>
        <w:t>本附加合同作为主险合同的组成部分，主险合同效力终止，本附加合同效力亦同时终止；主险合同无效，本附加合同亦无效。本附加合同与主险合同相抵触之处，以本附加合同为准，本附加合同未约定事项，以主险合同为准。</w:t>
      </w:r>
    </w:p>
    <w:p>
      <w:pPr>
        <w:pStyle w:val="30"/>
        <w:autoSpaceDE w:val="0"/>
        <w:autoSpaceDN w:val="0"/>
        <w:adjustRightInd w:val="0"/>
        <w:spacing w:line="360" w:lineRule="auto"/>
        <w:ind w:firstLine="422" w:firstLineChars="200"/>
        <w:jc w:val="left"/>
      </w:pPr>
      <w:r>
        <w:rPr>
          <w:rFonts w:hint="eastAsia"/>
          <w:b/>
          <w:bCs/>
        </w:rPr>
        <w:t>第二条</w:t>
      </w:r>
      <w:r>
        <w:rPr>
          <w:rFonts w:hint="eastAsia"/>
        </w:rPr>
        <w:t xml:space="preserve"> </w:t>
      </w:r>
      <w:r>
        <w:t>除另有约定外，本</w:t>
      </w:r>
      <w:r>
        <w:rPr>
          <w:rFonts w:hint="eastAsia"/>
        </w:rPr>
        <w:t>附加</w:t>
      </w:r>
      <w:r>
        <w:t>合同的保险金受益人为被保险人本人。</w:t>
      </w:r>
    </w:p>
    <w:p>
      <w:pPr>
        <w:pStyle w:val="30"/>
        <w:autoSpaceDE w:val="0"/>
        <w:autoSpaceDN w:val="0"/>
        <w:adjustRightInd w:val="0"/>
        <w:spacing w:line="360" w:lineRule="auto"/>
        <w:ind w:firstLine="422" w:firstLineChars="200"/>
        <w:jc w:val="left"/>
      </w:pPr>
      <w:r>
        <w:rPr>
          <w:rFonts w:hint="eastAsia"/>
          <w:b/>
          <w:bCs/>
        </w:rPr>
        <w:t>若发生保险事故后被保险人身故的，按下述约定确定本附加合同的受益人：</w:t>
      </w:r>
      <w:r>
        <w:t>订立本</w:t>
      </w:r>
      <w:r>
        <w:rPr>
          <w:rFonts w:hint="eastAsia"/>
        </w:rPr>
        <w:t>附加</w:t>
      </w:r>
      <w:r>
        <w:t>合同时，被保险人或投保人可指定一人或数人为意外身故保险金受益人。身故保险金受益人为数人时，应确定其受益顺序和受益份额；未确定受益份额的，各身故保险金受益人按照相等份额享有受益权</w:t>
      </w:r>
      <w:r>
        <w:rPr>
          <w:rFonts w:hint="eastAsia"/>
        </w:rPr>
        <w:t>，投保人指定受益人时须经被保险人同意</w:t>
      </w:r>
      <w:r>
        <w:t xml:space="preserve">。 </w:t>
      </w:r>
    </w:p>
    <w:p>
      <w:pPr>
        <w:pStyle w:val="30"/>
        <w:autoSpaceDE w:val="0"/>
        <w:autoSpaceDN w:val="0"/>
        <w:adjustRightInd w:val="0"/>
        <w:spacing w:line="360" w:lineRule="auto"/>
        <w:ind w:firstLineChars="200"/>
        <w:jc w:val="left"/>
      </w:pPr>
      <w:r>
        <w:t xml:space="preserve">被保险人死亡后，有下列情形之一的，保险金作为被保险人的遗产，由保险人依照有关继承的法律规定履行给付保险金的义务： </w:t>
      </w:r>
    </w:p>
    <w:p>
      <w:pPr>
        <w:pStyle w:val="30"/>
        <w:autoSpaceDE w:val="0"/>
        <w:autoSpaceDN w:val="0"/>
        <w:adjustRightInd w:val="0"/>
        <w:spacing w:line="360" w:lineRule="auto"/>
        <w:ind w:left="420" w:leftChars="200" w:firstLine="0"/>
        <w:jc w:val="left"/>
      </w:pPr>
      <w:r>
        <w:rPr>
          <w:rFonts w:hint="eastAsia"/>
        </w:rPr>
        <w:t>（1）</w:t>
      </w:r>
      <w:r>
        <w:t>没有指定受益人，或者受益人指定不明无法确定的；</w:t>
      </w:r>
    </w:p>
    <w:p>
      <w:pPr>
        <w:pStyle w:val="30"/>
        <w:autoSpaceDE w:val="0"/>
        <w:autoSpaceDN w:val="0"/>
        <w:adjustRightInd w:val="0"/>
        <w:spacing w:line="360" w:lineRule="auto"/>
        <w:ind w:left="420" w:leftChars="200" w:firstLine="0"/>
        <w:jc w:val="left"/>
      </w:pPr>
      <w:r>
        <w:rPr>
          <w:rFonts w:hint="eastAsia"/>
        </w:rPr>
        <w:t>（2）</w:t>
      </w:r>
      <w:r>
        <w:t xml:space="preserve">受益人先于被保险人死亡，没有其他受益人的； </w:t>
      </w:r>
    </w:p>
    <w:p>
      <w:pPr>
        <w:pStyle w:val="30"/>
        <w:autoSpaceDE w:val="0"/>
        <w:autoSpaceDN w:val="0"/>
        <w:adjustRightInd w:val="0"/>
        <w:spacing w:line="360" w:lineRule="auto"/>
        <w:ind w:left="420" w:leftChars="200" w:firstLine="0"/>
        <w:jc w:val="left"/>
      </w:pPr>
      <w:r>
        <w:rPr>
          <w:rFonts w:hint="eastAsia"/>
        </w:rPr>
        <w:t>（3）</w:t>
      </w:r>
      <w:r>
        <w:t xml:space="preserve">受益人依法丧失受益权或者放弃受益权，没有其他受益人的。 </w:t>
      </w:r>
    </w:p>
    <w:p>
      <w:pPr>
        <w:pStyle w:val="30"/>
        <w:autoSpaceDE w:val="0"/>
        <w:autoSpaceDN w:val="0"/>
        <w:adjustRightInd w:val="0"/>
        <w:spacing w:line="360" w:lineRule="auto"/>
        <w:ind w:firstLineChars="200"/>
        <w:jc w:val="left"/>
      </w:pPr>
      <w:r>
        <w:t xml:space="preserve">受益人与被保险人在同一事件中死亡，且不能确定死亡先后顺序的，推定受益人死亡 在先。 </w:t>
      </w:r>
    </w:p>
    <w:p>
      <w:pPr>
        <w:pStyle w:val="30"/>
        <w:autoSpaceDE w:val="0"/>
        <w:autoSpaceDN w:val="0"/>
        <w:adjustRightInd w:val="0"/>
        <w:spacing w:line="360" w:lineRule="auto"/>
        <w:ind w:firstLineChars="200"/>
        <w:jc w:val="left"/>
        <w:rPr>
          <w:b/>
          <w:bCs/>
        </w:rPr>
      </w:pPr>
      <w:r>
        <w:t>被保险人或投保人可以变更身故保险金受益人，但需书面通知保险人，由保险人在本保险合同上批注。</w:t>
      </w:r>
      <w:r>
        <w:rPr>
          <w:b/>
          <w:bCs/>
        </w:rPr>
        <w:t xml:space="preserve">对因意外身故保险金受益人变更发生的法律纠纷，保险人不承担任何责任。 </w:t>
      </w:r>
    </w:p>
    <w:p>
      <w:pPr>
        <w:pStyle w:val="30"/>
        <w:autoSpaceDE w:val="0"/>
        <w:autoSpaceDN w:val="0"/>
        <w:adjustRightInd w:val="0"/>
        <w:spacing w:line="360" w:lineRule="auto"/>
        <w:ind w:firstLineChars="200"/>
        <w:jc w:val="left"/>
      </w:pPr>
      <w:r>
        <w:t xml:space="preserve">投保人指定或变更意外身故保险金受益人的，应经被保险人书面同意。被保险人为无 民事行为能力人或限制民事行为能力人的，应由其监护人指定或变更意外身故保险金受益人。 </w:t>
      </w:r>
    </w:p>
    <w:bookmarkEnd w:id="0"/>
    <w:p>
      <w:pPr>
        <w:pStyle w:val="17"/>
        <w:spacing w:before="156" w:beforeLines="50" w:after="0" w:line="360" w:lineRule="auto"/>
        <w:ind w:left="0" w:leftChars="0" w:firstLine="0" w:firstLineChars="0"/>
        <w:jc w:val="center"/>
        <w:outlineLvl w:val="0"/>
        <w:rPr>
          <w:rFonts w:ascii="宋体" w:hAnsi="宋体" w:cs="宋体"/>
          <w:b/>
          <w:szCs w:val="21"/>
        </w:rPr>
      </w:pPr>
      <w:r>
        <w:rPr>
          <w:rFonts w:hint="eastAsia" w:ascii="宋体" w:hAnsi="宋体" w:cs="宋体"/>
          <w:b/>
          <w:szCs w:val="21"/>
        </w:rPr>
        <w:t>保险责任</w:t>
      </w:r>
    </w:p>
    <w:p>
      <w:pPr>
        <w:numPr>
          <w:ilvl w:val="255"/>
          <w:numId w:val="0"/>
        </w:numPr>
        <w:adjustRightInd w:val="0"/>
        <w:snapToGrid w:val="0"/>
        <w:spacing w:after="0" w:line="360" w:lineRule="auto"/>
        <w:ind w:firstLine="422" w:firstLineChars="200"/>
        <w:rPr>
          <w:rFonts w:ascii="宋体" w:hAnsi="宋体" w:cs="宋体"/>
          <w:b/>
          <w:bCs/>
          <w:szCs w:val="21"/>
        </w:rPr>
      </w:pPr>
      <w:r>
        <w:rPr>
          <w:rFonts w:hint="eastAsia" w:ascii="宋体" w:hAnsi="宋体" w:cs="宋体"/>
          <w:b/>
          <w:bCs/>
          <w:szCs w:val="21"/>
        </w:rPr>
        <w:t>第三条</w:t>
      </w:r>
      <w:bookmarkStart w:id="1" w:name="_Hlk31882434"/>
      <w:r>
        <w:rPr>
          <w:rFonts w:hint="eastAsia" w:ascii="宋体" w:hAnsi="宋体" w:cs="宋体"/>
          <w:szCs w:val="21"/>
        </w:rPr>
        <w:t xml:space="preserve"> </w:t>
      </w:r>
      <w:bookmarkEnd w:id="1"/>
      <w:bookmarkStart w:id="2" w:name="_Hlk31885856"/>
      <w:bookmarkStart w:id="3" w:name="_Hlk120716333"/>
      <w:r>
        <w:rPr>
          <w:rFonts w:hint="eastAsia" w:ascii="宋体" w:hAnsi="宋体" w:cs="宋体"/>
          <w:szCs w:val="21"/>
        </w:rPr>
        <w:t>在保险期间内，被保险人在保险人认可的医疗机构接受手术治疗时遭受医疗事故的，保险人按照下列医疗事故等级对应的给付比例乘以手术医疗意外伤害保险金额给付相对应的手术医疗意外伤害保险金，</w:t>
      </w:r>
      <w:r>
        <w:rPr>
          <w:rFonts w:hint="eastAsia" w:ascii="宋体" w:hAnsi="宋体"/>
          <w:b/>
        </w:rPr>
        <w:t>本项保险责任终止</w:t>
      </w:r>
      <w:r>
        <w:rPr>
          <w:rFonts w:hint="eastAsia" w:ascii="宋体" w:hAnsi="宋体" w:cs="宋体"/>
          <w:szCs w:val="21"/>
        </w:rPr>
        <w:t>。保险金额由投保人和保险人约定并于保险单上载明。</w:t>
      </w:r>
      <w:r>
        <w:rPr>
          <w:rFonts w:hint="eastAsia" w:ascii="宋体" w:hAnsi="宋体" w:cs="宋体"/>
          <w:b/>
          <w:bCs/>
          <w:szCs w:val="21"/>
        </w:rPr>
        <w:t>一级医疗事故的给付比例为1</w:t>
      </w:r>
      <w:r>
        <w:rPr>
          <w:rFonts w:ascii="宋体" w:hAnsi="宋体" w:cs="宋体"/>
          <w:b/>
          <w:bCs/>
          <w:szCs w:val="21"/>
        </w:rPr>
        <w:t>00%</w:t>
      </w:r>
      <w:r>
        <w:rPr>
          <w:rFonts w:hint="eastAsia" w:ascii="宋体" w:hAnsi="宋体" w:cs="宋体"/>
          <w:b/>
          <w:bCs/>
          <w:szCs w:val="21"/>
        </w:rPr>
        <w:t>；二级医疗事故的给付比例为</w:t>
      </w:r>
      <w:r>
        <w:rPr>
          <w:rFonts w:ascii="宋体" w:hAnsi="宋体" w:cs="宋体"/>
          <w:b/>
          <w:bCs/>
          <w:szCs w:val="21"/>
        </w:rPr>
        <w:t>80%；三级医疗事故的</w:t>
      </w:r>
      <w:r>
        <w:rPr>
          <w:rFonts w:hint="eastAsia" w:ascii="宋体" w:hAnsi="宋体" w:cs="宋体"/>
          <w:b/>
          <w:bCs/>
          <w:szCs w:val="21"/>
        </w:rPr>
        <w:t>给付比例为</w:t>
      </w:r>
      <w:r>
        <w:rPr>
          <w:rFonts w:ascii="宋体" w:hAnsi="宋体" w:cs="宋体"/>
          <w:b/>
          <w:bCs/>
          <w:szCs w:val="21"/>
        </w:rPr>
        <w:t>50%；四级医疗事故的</w:t>
      </w:r>
      <w:r>
        <w:rPr>
          <w:rFonts w:hint="eastAsia" w:ascii="宋体" w:hAnsi="宋体" w:cs="宋体"/>
          <w:b/>
          <w:bCs/>
          <w:szCs w:val="21"/>
        </w:rPr>
        <w:t>给付比例为</w:t>
      </w:r>
      <w:r>
        <w:rPr>
          <w:rFonts w:ascii="宋体" w:hAnsi="宋体" w:cs="宋体"/>
          <w:b/>
          <w:bCs/>
          <w:szCs w:val="21"/>
        </w:rPr>
        <w:t>30%。</w:t>
      </w:r>
      <w:bookmarkEnd w:id="2"/>
      <w:bookmarkStart w:id="4" w:name="_Hlk31886257"/>
      <w:bookmarkStart w:id="5" w:name="_Hlk31886817"/>
      <w:r>
        <w:rPr>
          <w:rFonts w:hint="eastAsia" w:ascii="宋体" w:hAnsi="宋体" w:cs="宋体"/>
          <w:b/>
          <w:bCs/>
          <w:szCs w:val="21"/>
        </w:rPr>
        <w:t>若投保人和保险人双方对各级医疗事故的给付比例另有约定的，以保险单载明为准。</w:t>
      </w:r>
    </w:p>
    <w:p>
      <w:pPr>
        <w:numPr>
          <w:ilvl w:val="255"/>
          <w:numId w:val="0"/>
        </w:numPr>
        <w:adjustRightInd w:val="0"/>
        <w:snapToGrid w:val="0"/>
        <w:spacing w:after="0" w:line="360" w:lineRule="auto"/>
        <w:ind w:firstLine="420" w:firstLineChars="200"/>
        <w:rPr>
          <w:rFonts w:ascii="宋体" w:hAnsi="宋体" w:cs="宋体"/>
          <w:szCs w:val="21"/>
        </w:rPr>
      </w:pPr>
    </w:p>
    <w:bookmarkEnd w:id="3"/>
    <w:bookmarkEnd w:id="4"/>
    <w:bookmarkEnd w:id="5"/>
    <w:p>
      <w:pPr>
        <w:pStyle w:val="17"/>
        <w:spacing w:before="156" w:beforeLines="50" w:after="0" w:line="360" w:lineRule="auto"/>
        <w:ind w:left="0" w:leftChars="0" w:firstLine="0" w:firstLineChars="0"/>
        <w:jc w:val="center"/>
        <w:outlineLvl w:val="0"/>
        <w:rPr>
          <w:rFonts w:ascii="宋体" w:hAnsi="宋体" w:cs="宋体"/>
          <w:b/>
          <w:szCs w:val="21"/>
        </w:rPr>
      </w:pPr>
      <w:r>
        <w:rPr>
          <w:rFonts w:hint="eastAsia" w:ascii="宋体" w:hAnsi="宋体" w:cs="宋体"/>
          <w:b/>
          <w:szCs w:val="21"/>
        </w:rPr>
        <w:t>责任免除</w:t>
      </w:r>
    </w:p>
    <w:p>
      <w:pPr>
        <w:numPr>
          <w:ilvl w:val="255"/>
          <w:numId w:val="0"/>
        </w:numPr>
        <w:adjustRightInd w:val="0"/>
        <w:snapToGrid w:val="0"/>
        <w:spacing w:after="0" w:line="360" w:lineRule="auto"/>
        <w:ind w:firstLine="422" w:firstLineChars="200"/>
        <w:rPr>
          <w:rFonts w:ascii="宋体" w:hAnsi="宋体" w:cs="宋体"/>
          <w:b/>
          <w:bCs/>
          <w:szCs w:val="21"/>
        </w:rPr>
      </w:pPr>
      <w:r>
        <w:rPr>
          <w:rFonts w:hint="eastAsia" w:ascii="宋体" w:hAnsi="宋体" w:cs="宋体"/>
          <w:b/>
          <w:bCs/>
          <w:szCs w:val="21"/>
        </w:rPr>
        <w:t>第四条 因下列情形之一造成被保险人医疗事故的，保险人不承担给付保险金的责任：</w:t>
      </w:r>
    </w:p>
    <w:p>
      <w:pPr>
        <w:numPr>
          <w:ilvl w:val="0"/>
          <w:numId w:val="1"/>
        </w:numPr>
        <w:adjustRightInd w:val="0"/>
        <w:snapToGrid w:val="0"/>
        <w:spacing w:after="0" w:line="360" w:lineRule="auto"/>
        <w:ind w:left="0" w:firstLine="422" w:firstLineChars="200"/>
        <w:rPr>
          <w:rFonts w:ascii="宋体" w:hAnsi="宋体" w:cs="宋体"/>
          <w:b/>
          <w:szCs w:val="21"/>
        </w:rPr>
      </w:pPr>
      <w:r>
        <w:rPr>
          <w:rFonts w:hint="eastAsia" w:ascii="宋体" w:hAnsi="宋体" w:cs="宋体"/>
          <w:b/>
          <w:szCs w:val="21"/>
        </w:rPr>
        <w:t>投保人对被保险人的故意杀害、故意伤害；</w:t>
      </w:r>
    </w:p>
    <w:p>
      <w:pPr>
        <w:numPr>
          <w:ilvl w:val="0"/>
          <w:numId w:val="1"/>
        </w:numPr>
        <w:adjustRightInd w:val="0"/>
        <w:snapToGrid w:val="0"/>
        <w:spacing w:after="0" w:line="360" w:lineRule="auto"/>
        <w:ind w:left="0" w:firstLine="422" w:firstLineChars="200"/>
        <w:rPr>
          <w:rFonts w:ascii="宋体" w:hAnsi="宋体" w:cs="宋体"/>
          <w:b/>
          <w:szCs w:val="21"/>
        </w:rPr>
      </w:pPr>
      <w:r>
        <w:rPr>
          <w:rFonts w:hint="eastAsia" w:ascii="宋体" w:hAnsi="宋体" w:cs="宋体"/>
          <w:b/>
          <w:szCs w:val="21"/>
        </w:rPr>
        <w:t>被保险人故意犯罪或抗拒依法采取的刑事强制措施；</w:t>
      </w:r>
    </w:p>
    <w:p>
      <w:pPr>
        <w:numPr>
          <w:ilvl w:val="0"/>
          <w:numId w:val="1"/>
        </w:numPr>
        <w:adjustRightInd w:val="0"/>
        <w:snapToGrid w:val="0"/>
        <w:spacing w:after="0" w:line="360" w:lineRule="auto"/>
        <w:ind w:left="0" w:firstLine="422" w:firstLineChars="200"/>
        <w:rPr>
          <w:rFonts w:ascii="宋体" w:hAnsi="宋体" w:cs="宋体"/>
          <w:b/>
          <w:szCs w:val="21"/>
        </w:rPr>
      </w:pPr>
      <w:r>
        <w:rPr>
          <w:rFonts w:hint="eastAsia" w:ascii="宋体" w:hAnsi="宋体" w:cs="宋体"/>
          <w:b/>
          <w:szCs w:val="21"/>
        </w:rPr>
        <w:t>被保险人故意自伤、自杀，但被保险人自伤自杀时为无民事行为能力人的除外；</w:t>
      </w:r>
    </w:p>
    <w:p>
      <w:pPr>
        <w:numPr>
          <w:ilvl w:val="0"/>
          <w:numId w:val="1"/>
        </w:numPr>
        <w:adjustRightInd w:val="0"/>
        <w:snapToGrid w:val="0"/>
        <w:spacing w:after="0" w:line="360" w:lineRule="auto"/>
        <w:ind w:left="0" w:firstLine="422" w:firstLineChars="200"/>
        <w:rPr>
          <w:rFonts w:ascii="宋体" w:hAnsi="宋体" w:cs="宋体"/>
          <w:b/>
          <w:szCs w:val="21"/>
        </w:rPr>
      </w:pPr>
      <w:r>
        <w:rPr>
          <w:rFonts w:hint="eastAsia" w:ascii="宋体" w:hAnsi="宋体" w:cs="宋体"/>
          <w:b/>
          <w:szCs w:val="21"/>
        </w:rPr>
        <w:t>被保险人殴斗、醉酒，服用、吸食或注射毒品；</w:t>
      </w:r>
    </w:p>
    <w:p>
      <w:pPr>
        <w:numPr>
          <w:ilvl w:val="0"/>
          <w:numId w:val="1"/>
        </w:numPr>
        <w:adjustRightInd w:val="0"/>
        <w:snapToGrid w:val="0"/>
        <w:spacing w:after="0" w:line="360" w:lineRule="auto"/>
        <w:ind w:left="0" w:firstLine="422" w:firstLineChars="200"/>
        <w:rPr>
          <w:rFonts w:ascii="宋体" w:hAnsi="宋体" w:cs="宋体"/>
          <w:b/>
          <w:szCs w:val="21"/>
        </w:rPr>
      </w:pPr>
      <w:r>
        <w:rPr>
          <w:rFonts w:hint="eastAsia" w:ascii="宋体" w:hAnsi="宋体" w:cs="宋体"/>
          <w:b/>
          <w:szCs w:val="21"/>
        </w:rPr>
        <w:t>被保险人妊娠、流产、分娩；</w:t>
      </w:r>
    </w:p>
    <w:p>
      <w:pPr>
        <w:numPr>
          <w:ilvl w:val="0"/>
          <w:numId w:val="1"/>
        </w:numPr>
        <w:adjustRightInd w:val="0"/>
        <w:snapToGrid w:val="0"/>
        <w:spacing w:after="0" w:line="360" w:lineRule="auto"/>
        <w:ind w:left="0" w:firstLine="422" w:firstLineChars="200"/>
        <w:rPr>
          <w:rFonts w:ascii="宋体" w:hAnsi="宋体" w:cs="宋体"/>
          <w:b/>
          <w:szCs w:val="21"/>
        </w:rPr>
      </w:pPr>
      <w:r>
        <w:rPr>
          <w:rFonts w:hint="eastAsia" w:ascii="宋体" w:hAnsi="宋体" w:cs="宋体"/>
          <w:b/>
          <w:szCs w:val="21"/>
        </w:rPr>
        <w:t>核爆炸、核辐射或核污染、化学污染；恐怖袭击、战争、军事冲突、暴乱或武装叛乱；</w:t>
      </w:r>
    </w:p>
    <w:p>
      <w:pPr>
        <w:numPr>
          <w:ilvl w:val="0"/>
          <w:numId w:val="1"/>
        </w:numPr>
        <w:adjustRightInd w:val="0"/>
        <w:snapToGrid w:val="0"/>
        <w:spacing w:after="0" w:line="360" w:lineRule="auto"/>
        <w:ind w:left="0" w:firstLine="422" w:firstLineChars="200"/>
        <w:rPr>
          <w:rFonts w:ascii="宋体" w:hAnsi="宋体" w:cs="宋体"/>
          <w:b/>
          <w:szCs w:val="21"/>
        </w:rPr>
      </w:pPr>
      <w:r>
        <w:rPr>
          <w:rFonts w:hint="eastAsia" w:ascii="宋体" w:hAnsi="宋体" w:cs="宋体"/>
          <w:b/>
          <w:szCs w:val="21"/>
        </w:rPr>
        <w:t>疗养、视力矫正手术、各种健康体检项目及预防性医疗项目、牙科保健及牙科治疗、康复治疗、非意外事故所致整容手术；</w:t>
      </w:r>
    </w:p>
    <w:p>
      <w:pPr>
        <w:numPr>
          <w:ilvl w:val="0"/>
          <w:numId w:val="1"/>
        </w:numPr>
        <w:adjustRightInd w:val="0"/>
        <w:snapToGrid w:val="0"/>
        <w:spacing w:after="0" w:line="360" w:lineRule="auto"/>
        <w:ind w:left="0" w:firstLine="422" w:firstLineChars="200"/>
        <w:rPr>
          <w:rFonts w:ascii="宋体" w:hAnsi="宋体" w:cs="宋体"/>
          <w:b/>
          <w:szCs w:val="21"/>
        </w:rPr>
      </w:pPr>
      <w:r>
        <w:rPr>
          <w:rFonts w:hint="eastAsia" w:ascii="宋体" w:hAnsi="宋体" w:cs="宋体"/>
          <w:b/>
          <w:szCs w:val="21"/>
        </w:rPr>
        <w:t>被保险人接受实验性治疗，即未经科学或医学认可的医疗；</w:t>
      </w:r>
    </w:p>
    <w:p>
      <w:pPr>
        <w:numPr>
          <w:ilvl w:val="0"/>
          <w:numId w:val="1"/>
        </w:numPr>
        <w:adjustRightInd w:val="0"/>
        <w:snapToGrid w:val="0"/>
        <w:spacing w:after="0" w:line="360" w:lineRule="auto"/>
        <w:ind w:left="0" w:firstLine="422" w:firstLineChars="200"/>
        <w:rPr>
          <w:rFonts w:ascii="宋体" w:hAnsi="宋体" w:cs="宋体"/>
          <w:b/>
          <w:szCs w:val="21"/>
        </w:rPr>
      </w:pPr>
      <w:r>
        <w:rPr>
          <w:rFonts w:hint="eastAsia" w:ascii="宋体" w:hAnsi="宋体" w:cs="宋体"/>
          <w:b/>
          <w:szCs w:val="21"/>
        </w:rPr>
        <w:t>其他任何不属于本附加合同责任范围内的损失、费用或责任。</w:t>
      </w:r>
    </w:p>
    <w:p>
      <w:pPr>
        <w:pStyle w:val="17"/>
        <w:spacing w:before="156" w:beforeLines="50" w:after="0" w:line="360" w:lineRule="auto"/>
        <w:ind w:left="425" w:leftChars="0" w:firstLine="0" w:firstLineChars="0"/>
        <w:jc w:val="center"/>
        <w:outlineLvl w:val="0"/>
        <w:rPr>
          <w:rFonts w:ascii="宋体" w:hAnsi="宋体" w:cs="宋体"/>
          <w:b/>
          <w:szCs w:val="21"/>
        </w:rPr>
      </w:pPr>
      <w:r>
        <w:rPr>
          <w:rFonts w:hint="eastAsia" w:ascii="宋体" w:hAnsi="宋体" w:cs="宋体"/>
          <w:b/>
          <w:szCs w:val="21"/>
        </w:rPr>
        <w:t>保险期间</w:t>
      </w:r>
    </w:p>
    <w:p>
      <w:pPr>
        <w:spacing w:after="156" w:afterLines="50" w:line="240" w:lineRule="auto"/>
        <w:ind w:firstLine="422" w:firstLineChars="200"/>
        <w:rPr>
          <w:rFonts w:ascii="宋体" w:hAnsi="宋体" w:cs="宋体"/>
        </w:rPr>
      </w:pPr>
      <w:r>
        <w:rPr>
          <w:rStyle w:val="14"/>
          <w:rFonts w:hint="eastAsia" w:ascii="宋体" w:hAnsi="宋体" w:cs="宋体"/>
          <w:b/>
          <w:bCs/>
          <w:i w:val="0"/>
          <w:szCs w:val="21"/>
        </w:rPr>
        <w:t>第五条</w:t>
      </w:r>
      <w:r>
        <w:rPr>
          <w:rStyle w:val="14"/>
          <w:rFonts w:hint="eastAsia" w:ascii="宋体" w:hAnsi="宋体" w:cs="宋体"/>
          <w:i w:val="0"/>
          <w:szCs w:val="21"/>
        </w:rPr>
        <w:t xml:space="preserve"> </w:t>
      </w:r>
      <w:r>
        <w:rPr>
          <w:rFonts w:hint="eastAsia" w:ascii="宋体" w:hAnsi="宋体" w:cs="宋体"/>
        </w:rPr>
        <w:t>本附加险合同的保险期间与主险合同一致，最长不超过一年。</w:t>
      </w:r>
    </w:p>
    <w:p>
      <w:pPr>
        <w:spacing w:after="156" w:afterLines="50" w:line="240" w:lineRule="auto"/>
        <w:ind w:firstLine="422" w:firstLineChars="200"/>
        <w:jc w:val="center"/>
        <w:rPr>
          <w:rFonts w:ascii="宋体" w:hAnsi="宋体" w:cs="宋体"/>
          <w:b/>
          <w:szCs w:val="21"/>
        </w:rPr>
      </w:pPr>
      <w:r>
        <w:rPr>
          <w:rFonts w:hint="eastAsia" w:ascii="宋体" w:hAnsi="宋体" w:cs="宋体"/>
          <w:b/>
          <w:szCs w:val="21"/>
        </w:rPr>
        <w:t>保险金申请与给付</w:t>
      </w:r>
    </w:p>
    <w:p>
      <w:pPr>
        <w:numPr>
          <w:ilvl w:val="255"/>
          <w:numId w:val="0"/>
        </w:numPr>
        <w:adjustRightInd w:val="0"/>
        <w:snapToGrid w:val="0"/>
        <w:spacing w:after="0" w:line="360" w:lineRule="auto"/>
        <w:ind w:firstLine="422" w:firstLineChars="200"/>
        <w:rPr>
          <w:rFonts w:ascii="宋体" w:hAnsi="宋体" w:cs="宋体"/>
          <w:bCs/>
          <w:szCs w:val="21"/>
        </w:rPr>
      </w:pPr>
      <w:r>
        <w:rPr>
          <w:rFonts w:hint="eastAsia" w:ascii="宋体" w:hAnsi="宋体" w:cs="宋体"/>
          <w:b/>
          <w:bCs/>
          <w:szCs w:val="21"/>
        </w:rPr>
        <w:t xml:space="preserve">第六条 </w:t>
      </w:r>
      <w:r>
        <w:rPr>
          <w:rFonts w:hint="eastAsia" w:ascii="宋体" w:hAnsi="宋体" w:cs="宋体"/>
          <w:bCs/>
          <w:szCs w:val="21"/>
        </w:rPr>
        <w:t>保险金申请人</w:t>
      </w:r>
      <w:r>
        <w:rPr>
          <w:rFonts w:hint="eastAsia" w:ascii="宋体" w:hAnsi="宋体" w:cs="宋体"/>
          <w:szCs w:val="21"/>
        </w:rPr>
        <w:t>请求赔偿时，应向保险人提供以下证明和资料。保险金申请人因特殊原因不能提供以下材料的，应提供其他合法有效的材料。</w:t>
      </w:r>
      <w:r>
        <w:rPr>
          <w:rFonts w:hint="eastAsia" w:ascii="宋体" w:hAnsi="宋体" w:cs="宋体"/>
          <w:b/>
          <w:bCs/>
          <w:szCs w:val="21"/>
        </w:rPr>
        <w:t>保险金申请人未能提供有关材料，导致保险人无法核实的，保险人对无法核实部分不承担给付保险金的责任。</w:t>
      </w:r>
    </w:p>
    <w:p>
      <w:pPr>
        <w:widowControl/>
        <w:adjustRightInd w:val="0"/>
        <w:snapToGrid w:val="0"/>
        <w:spacing w:after="0" w:line="360" w:lineRule="auto"/>
        <w:ind w:firstLine="420" w:firstLineChars="200"/>
        <w:jc w:val="left"/>
        <w:rPr>
          <w:rFonts w:ascii="宋体" w:hAnsi="宋体" w:cs="宋体"/>
          <w:bCs/>
          <w:kern w:val="0"/>
          <w:szCs w:val="21"/>
        </w:rPr>
      </w:pPr>
      <w:r>
        <w:rPr>
          <w:rFonts w:hint="eastAsia" w:ascii="宋体" w:hAnsi="宋体" w:cs="宋体"/>
          <w:bCs/>
          <w:kern w:val="0"/>
          <w:szCs w:val="21"/>
        </w:rPr>
        <w:t>（</w:t>
      </w:r>
      <w:r>
        <w:rPr>
          <w:rFonts w:ascii="宋体" w:hAnsi="宋体" w:cs="宋体"/>
          <w:bCs/>
          <w:kern w:val="0"/>
          <w:szCs w:val="21"/>
        </w:rPr>
        <w:t>1）</w:t>
      </w:r>
      <w:r>
        <w:rPr>
          <w:rFonts w:hint="eastAsia" w:ascii="宋体" w:hAnsi="宋体" w:cs="宋体"/>
          <w:bCs/>
          <w:kern w:val="0"/>
          <w:szCs w:val="21"/>
        </w:rPr>
        <w:t>保险金给付</w:t>
      </w:r>
      <w:r>
        <w:rPr>
          <w:rFonts w:ascii="宋体" w:hAnsi="宋体" w:cs="宋体"/>
          <w:bCs/>
          <w:kern w:val="0"/>
          <w:szCs w:val="21"/>
        </w:rPr>
        <w:t>申请书；</w:t>
      </w:r>
    </w:p>
    <w:p>
      <w:pPr>
        <w:widowControl/>
        <w:adjustRightInd w:val="0"/>
        <w:snapToGrid w:val="0"/>
        <w:spacing w:after="0" w:line="360" w:lineRule="auto"/>
        <w:ind w:firstLine="420" w:firstLineChars="200"/>
        <w:jc w:val="left"/>
        <w:rPr>
          <w:rFonts w:ascii="宋体" w:hAnsi="宋体" w:cs="宋体"/>
          <w:bCs/>
          <w:kern w:val="0"/>
          <w:szCs w:val="21"/>
        </w:rPr>
      </w:pPr>
      <w:r>
        <w:rPr>
          <w:rFonts w:hint="eastAsia" w:ascii="宋体" w:hAnsi="宋体" w:cs="宋体"/>
          <w:bCs/>
          <w:kern w:val="0"/>
          <w:szCs w:val="21"/>
        </w:rPr>
        <w:t>（</w:t>
      </w:r>
      <w:r>
        <w:rPr>
          <w:rFonts w:ascii="宋体" w:hAnsi="宋体" w:cs="宋体"/>
          <w:bCs/>
          <w:kern w:val="0"/>
          <w:szCs w:val="21"/>
        </w:rPr>
        <w:t>2）</w:t>
      </w:r>
      <w:r>
        <w:rPr>
          <w:rFonts w:hint="eastAsia" w:ascii="宋体" w:hAnsi="宋体" w:cs="宋体"/>
          <w:bCs/>
          <w:kern w:val="0"/>
          <w:szCs w:val="21"/>
        </w:rPr>
        <w:t>保险金申请人的身份证明；</w:t>
      </w:r>
    </w:p>
    <w:p>
      <w:pPr>
        <w:widowControl/>
        <w:adjustRightInd w:val="0"/>
        <w:snapToGrid w:val="0"/>
        <w:spacing w:after="0" w:line="360" w:lineRule="auto"/>
        <w:ind w:firstLine="420" w:firstLineChars="200"/>
        <w:jc w:val="left"/>
        <w:rPr>
          <w:rFonts w:ascii="宋体" w:hAnsi="宋体" w:cs="宋体"/>
          <w:bCs/>
          <w:kern w:val="0"/>
          <w:szCs w:val="21"/>
        </w:rPr>
      </w:pPr>
      <w:r>
        <w:rPr>
          <w:rFonts w:hint="eastAsia" w:ascii="宋体" w:hAnsi="宋体" w:cs="宋体"/>
          <w:bCs/>
          <w:kern w:val="0"/>
          <w:szCs w:val="21"/>
        </w:rPr>
        <w:t>（</w:t>
      </w:r>
      <w:r>
        <w:rPr>
          <w:rFonts w:ascii="宋体" w:hAnsi="宋体" w:cs="宋体"/>
          <w:bCs/>
          <w:kern w:val="0"/>
          <w:szCs w:val="21"/>
        </w:rPr>
        <w:t>3）</w:t>
      </w:r>
      <w:r>
        <w:rPr>
          <w:rFonts w:hint="eastAsia" w:ascii="宋体" w:hAnsi="宋体" w:cs="宋体"/>
          <w:bCs/>
          <w:kern w:val="0"/>
          <w:szCs w:val="21"/>
        </w:rPr>
        <w:t>保险合同凭证；</w:t>
      </w:r>
    </w:p>
    <w:p>
      <w:pPr>
        <w:widowControl/>
        <w:adjustRightInd w:val="0"/>
        <w:snapToGrid w:val="0"/>
        <w:spacing w:after="0" w:line="360" w:lineRule="auto"/>
        <w:ind w:firstLine="420" w:firstLineChars="200"/>
        <w:jc w:val="left"/>
        <w:rPr>
          <w:rFonts w:ascii="宋体" w:hAnsi="宋体" w:cs="宋体"/>
          <w:bCs/>
          <w:kern w:val="0"/>
          <w:szCs w:val="21"/>
        </w:rPr>
      </w:pPr>
      <w:r>
        <w:rPr>
          <w:rFonts w:hint="eastAsia" w:ascii="宋体" w:hAnsi="宋体" w:cs="宋体"/>
          <w:bCs/>
          <w:kern w:val="0"/>
          <w:szCs w:val="21"/>
        </w:rPr>
        <w:t>（4）负责组织医疗事故技术鉴定工作的医学会组织的专家鉴定组出具的医疗事故技术鉴定书；</w:t>
      </w:r>
    </w:p>
    <w:p>
      <w:pPr>
        <w:widowControl/>
        <w:adjustRightInd w:val="0"/>
        <w:snapToGrid w:val="0"/>
        <w:spacing w:after="0" w:line="360" w:lineRule="auto"/>
        <w:ind w:firstLine="420" w:firstLineChars="200"/>
        <w:jc w:val="left"/>
        <w:rPr>
          <w:rFonts w:ascii="宋体" w:hAnsi="宋体" w:cs="宋体"/>
          <w:bCs/>
          <w:kern w:val="0"/>
          <w:szCs w:val="21"/>
        </w:rPr>
      </w:pPr>
      <w:r>
        <w:rPr>
          <w:rFonts w:hint="eastAsia" w:ascii="宋体" w:hAnsi="宋体" w:cs="宋体"/>
          <w:bCs/>
          <w:kern w:val="0"/>
          <w:szCs w:val="21"/>
        </w:rPr>
        <w:t>（</w:t>
      </w:r>
      <w:r>
        <w:rPr>
          <w:rFonts w:ascii="宋体" w:hAnsi="宋体" w:cs="宋体"/>
          <w:bCs/>
          <w:kern w:val="0"/>
          <w:szCs w:val="21"/>
        </w:rPr>
        <w:t>5）</w:t>
      </w:r>
      <w:r>
        <w:rPr>
          <w:rFonts w:hint="eastAsia" w:ascii="宋体" w:hAnsi="宋体" w:cs="宋体"/>
          <w:bCs/>
          <w:kern w:val="0"/>
          <w:szCs w:val="21"/>
        </w:rPr>
        <w:t>若被保险人身故的，应提交公安部门或医院出具的被保险人死亡证明书</w:t>
      </w:r>
      <w:r>
        <w:rPr>
          <w:rFonts w:ascii="宋体" w:hAnsi="宋体" w:cs="宋体"/>
          <w:bCs/>
          <w:kern w:val="0"/>
          <w:szCs w:val="21"/>
        </w:rPr>
        <w:t>；</w:t>
      </w:r>
    </w:p>
    <w:p>
      <w:pPr>
        <w:widowControl/>
        <w:adjustRightInd w:val="0"/>
        <w:snapToGrid w:val="0"/>
        <w:spacing w:after="0" w:line="360" w:lineRule="auto"/>
        <w:ind w:firstLine="420" w:firstLineChars="200"/>
        <w:jc w:val="left"/>
        <w:rPr>
          <w:rFonts w:ascii="宋体" w:hAnsi="宋体" w:cs="宋体"/>
          <w:bCs/>
          <w:kern w:val="0"/>
          <w:szCs w:val="21"/>
        </w:rPr>
      </w:pPr>
      <w:r>
        <w:rPr>
          <w:rFonts w:hint="eastAsia" w:ascii="宋体" w:hAnsi="宋体" w:cs="宋体"/>
          <w:bCs/>
          <w:kern w:val="0"/>
          <w:szCs w:val="21"/>
        </w:rPr>
        <w:t>（</w:t>
      </w:r>
      <w:r>
        <w:rPr>
          <w:rFonts w:ascii="宋体" w:hAnsi="宋体" w:cs="宋体"/>
          <w:bCs/>
          <w:kern w:val="0"/>
          <w:szCs w:val="21"/>
        </w:rPr>
        <w:t>6）保险金申请人所能提供的与确认保险事故的性质、原因、损失程度等有关的其他证明和资料；</w:t>
      </w:r>
    </w:p>
    <w:p>
      <w:pPr>
        <w:widowControl/>
        <w:adjustRightInd w:val="0"/>
        <w:snapToGrid w:val="0"/>
        <w:spacing w:after="0" w:line="360" w:lineRule="auto"/>
        <w:ind w:firstLine="420" w:firstLineChars="200"/>
        <w:jc w:val="left"/>
        <w:rPr>
          <w:rFonts w:ascii="宋体" w:hAnsi="宋体" w:cs="宋体"/>
          <w:bCs/>
          <w:kern w:val="0"/>
          <w:szCs w:val="21"/>
        </w:rPr>
      </w:pPr>
      <w:r>
        <w:rPr>
          <w:rFonts w:hint="eastAsia" w:ascii="宋体" w:hAnsi="宋体" w:cs="宋体"/>
          <w:bCs/>
          <w:kern w:val="0"/>
          <w:szCs w:val="21"/>
        </w:rPr>
        <w:t>（</w:t>
      </w:r>
      <w:r>
        <w:rPr>
          <w:rFonts w:ascii="宋体" w:hAnsi="宋体" w:cs="宋体"/>
          <w:bCs/>
          <w:kern w:val="0"/>
          <w:szCs w:val="21"/>
        </w:rPr>
        <w:t>7）若保险金申请人委托他人申请的，还应提供授权委托书原件、委托人和受托人的身份证明等相关证明文件。</w:t>
      </w:r>
    </w:p>
    <w:p>
      <w:pPr>
        <w:widowControl/>
        <w:adjustRightInd w:val="0"/>
        <w:snapToGrid w:val="0"/>
        <w:spacing w:after="0" w:line="360" w:lineRule="auto"/>
        <w:ind w:firstLine="420" w:firstLineChars="200"/>
        <w:jc w:val="left"/>
        <w:rPr>
          <w:rFonts w:ascii="宋体" w:hAnsi="宋体" w:cs="宋体"/>
          <w:bCs/>
          <w:kern w:val="0"/>
          <w:szCs w:val="21"/>
        </w:rPr>
      </w:pPr>
      <w:r>
        <w:rPr>
          <w:rFonts w:ascii="宋体" w:hAnsi="宋体" w:cs="宋体"/>
          <w:bCs/>
          <w:kern w:val="0"/>
          <w:szCs w:val="21"/>
        </w:rPr>
        <w:t>受益人为无民事行为</w:t>
      </w:r>
      <w:r>
        <w:rPr>
          <w:rFonts w:hint="eastAsia" w:ascii="宋体" w:hAnsi="宋体" w:cs="宋体"/>
          <w:bCs/>
          <w:kern w:val="0"/>
          <w:szCs w:val="21"/>
        </w:rPr>
        <w:t>能力人或限制民事行为能力人的，由其监护人代为申领保险金，并需要提供监护人的身份证明等资料。</w:t>
      </w:r>
    </w:p>
    <w:p>
      <w:pPr>
        <w:pStyle w:val="17"/>
        <w:spacing w:before="156" w:beforeLines="50" w:after="0" w:line="360" w:lineRule="auto"/>
        <w:ind w:left="0" w:leftChars="0" w:firstLine="0" w:firstLineChars="0"/>
        <w:jc w:val="center"/>
        <w:outlineLvl w:val="0"/>
        <w:rPr>
          <w:rFonts w:ascii="宋体" w:hAnsi="宋体" w:cs="宋体"/>
          <w:b/>
          <w:szCs w:val="21"/>
        </w:rPr>
      </w:pPr>
      <w:r>
        <w:rPr>
          <w:rFonts w:hint="eastAsia" w:ascii="宋体" w:hAnsi="宋体" w:cs="宋体"/>
          <w:b/>
          <w:szCs w:val="21"/>
        </w:rPr>
        <w:t>释义</w:t>
      </w:r>
    </w:p>
    <w:p>
      <w:pPr>
        <w:pStyle w:val="16"/>
        <w:numPr>
          <w:ilvl w:val="255"/>
          <w:numId w:val="0"/>
        </w:numPr>
        <w:spacing w:after="0" w:line="360" w:lineRule="auto"/>
        <w:ind w:firstLine="422" w:firstLineChars="200"/>
        <w:rPr>
          <w:rFonts w:ascii="宋体" w:hAnsi="宋体" w:cs="宋体"/>
          <w:b/>
          <w:szCs w:val="21"/>
        </w:rPr>
      </w:pPr>
      <w:r>
        <w:rPr>
          <w:rFonts w:hint="eastAsia" w:ascii="宋体" w:hAnsi="宋体" w:cs="宋体"/>
          <w:b/>
          <w:szCs w:val="21"/>
        </w:rPr>
        <w:t>1、手术：</w:t>
      </w:r>
      <w:r>
        <w:rPr>
          <w:rFonts w:hint="eastAsia" w:ascii="宋体" w:hAnsi="宋体" w:cs="宋体"/>
          <w:bCs/>
          <w:szCs w:val="21"/>
        </w:rPr>
        <w:t>指为治疗疾病或损伤、挽救生命而施行的手术，</w:t>
      </w:r>
      <w:r>
        <w:rPr>
          <w:rFonts w:hint="eastAsia" w:ascii="宋体" w:hAnsi="宋体"/>
          <w:b/>
        </w:rPr>
        <w:t>不包括活检、穿刺、造影等创伤性检查以及康复性手术。</w:t>
      </w:r>
    </w:p>
    <w:p>
      <w:pPr>
        <w:pStyle w:val="16"/>
        <w:spacing w:after="0" w:line="360" w:lineRule="auto"/>
        <w:ind w:left="0" w:leftChars="0" w:firstLine="422"/>
        <w:rPr>
          <w:rFonts w:ascii="宋体" w:hAnsi="宋体" w:cs="宋体"/>
          <w:szCs w:val="21"/>
        </w:rPr>
      </w:pPr>
      <w:r>
        <w:rPr>
          <w:rFonts w:hint="eastAsia" w:ascii="宋体" w:hAnsi="宋体" w:cs="宋体"/>
          <w:b/>
          <w:szCs w:val="21"/>
        </w:rPr>
        <w:t>2、医疗事故：</w:t>
      </w:r>
      <w:r>
        <w:rPr>
          <w:rFonts w:hint="eastAsia" w:ascii="宋体" w:hAnsi="宋体" w:cs="宋体"/>
          <w:szCs w:val="21"/>
        </w:rPr>
        <w:t>指医院或指定医疗机构及其医务人员在医疗活动中，违反医疗卫生管理法律、行政法规、部门规章和诊疗护理规范及常规，过失造成患者人身损害的事故。</w:t>
      </w:r>
      <w:r>
        <w:rPr>
          <w:rFonts w:hint="eastAsia" w:ascii="宋体" w:hAnsi="宋体" w:cs="宋体"/>
          <w:b/>
          <w:szCs w:val="21"/>
        </w:rPr>
        <w:t>医疗事故的认定以事故发生时政府规定的、有效的《医疗事故处理条例》及其他相关规定为准。医疗事故等级</w:t>
      </w:r>
      <w:r>
        <w:rPr>
          <w:rFonts w:hint="eastAsia" w:ascii="宋体" w:hAnsi="宋体" w:cs="宋体"/>
          <w:bCs/>
          <w:szCs w:val="21"/>
        </w:rPr>
        <w:t>由负责组织医疗事故技术鉴定工作的医学会，组织专家鉴定组确认医疗事故等级。</w:t>
      </w:r>
    </w:p>
    <w:p>
      <w:pPr>
        <w:pStyle w:val="16"/>
        <w:numPr>
          <w:ilvl w:val="255"/>
          <w:numId w:val="0"/>
        </w:numPr>
        <w:spacing w:after="0" w:line="360" w:lineRule="auto"/>
        <w:ind w:firstLine="422" w:firstLineChars="200"/>
        <w:rPr>
          <w:rFonts w:ascii="宋体" w:hAnsi="宋体" w:cs="宋体"/>
          <w:kern w:val="0"/>
          <w:szCs w:val="21"/>
        </w:rPr>
      </w:pPr>
      <w:r>
        <w:rPr>
          <w:rFonts w:ascii="宋体" w:hAnsi="宋体" w:cs="宋体"/>
          <w:b/>
          <w:szCs w:val="21"/>
        </w:rPr>
        <w:t>3</w:t>
      </w:r>
      <w:r>
        <w:rPr>
          <w:rFonts w:hint="eastAsia" w:ascii="宋体" w:hAnsi="宋体" w:cs="宋体"/>
          <w:b/>
          <w:szCs w:val="21"/>
        </w:rPr>
        <w:t>、认可的医疗机构：</w:t>
      </w:r>
      <w:r>
        <w:rPr>
          <w:rFonts w:ascii="宋体" w:hAnsi="宋体" w:cs="宋体"/>
          <w:kern w:val="0"/>
          <w:szCs w:val="21"/>
        </w:rPr>
        <w:t xml:space="preserve"> </w:t>
      </w:r>
      <w:r>
        <w:rPr>
          <w:rFonts w:hint="eastAsia" w:ascii="宋体" w:hAnsi="宋体" w:cs="宋体"/>
          <w:kern w:val="0"/>
          <w:szCs w:val="21"/>
        </w:rPr>
        <w:t>指保险人与投保人约定的定点医疗及相关机构，未约定定点医疗机构的，则指中华人民共和国卫生部门审核认定的二级或二级以上公立医院或符合如下条件的其他医疗机构：</w:t>
      </w:r>
    </w:p>
    <w:p>
      <w:pPr>
        <w:widowControl/>
        <w:snapToGrid w:val="0"/>
        <w:spacing w:after="0" w:line="360" w:lineRule="auto"/>
        <w:ind w:firstLine="420" w:firstLineChars="200"/>
        <w:jc w:val="left"/>
        <w:rPr>
          <w:rFonts w:ascii="宋体" w:hAnsi="宋体" w:cs="宋体"/>
          <w:kern w:val="0"/>
          <w:szCs w:val="21"/>
        </w:rPr>
      </w:pPr>
      <w:r>
        <w:rPr>
          <w:rFonts w:hint="eastAsia" w:ascii="宋体" w:hAnsi="宋体" w:cs="宋体"/>
          <w:kern w:val="0"/>
          <w:szCs w:val="21"/>
        </w:rPr>
        <w:t>（1）持有合法有效的《医疗机构执业许可证》；</w:t>
      </w:r>
    </w:p>
    <w:p>
      <w:pPr>
        <w:widowControl/>
        <w:snapToGrid w:val="0"/>
        <w:spacing w:after="0" w:line="360" w:lineRule="auto"/>
        <w:ind w:firstLine="420" w:firstLineChars="200"/>
        <w:jc w:val="left"/>
        <w:rPr>
          <w:rFonts w:ascii="宋体" w:hAnsi="宋体" w:cs="宋体"/>
          <w:kern w:val="0"/>
          <w:szCs w:val="21"/>
        </w:rPr>
      </w:pPr>
      <w:r>
        <w:rPr>
          <w:rFonts w:hint="eastAsia" w:ascii="宋体" w:hAnsi="宋体" w:cs="宋体"/>
          <w:kern w:val="0"/>
          <w:szCs w:val="21"/>
        </w:rPr>
        <w:t>（2）主要从事疾病诊断、治疗活动；</w:t>
      </w:r>
    </w:p>
    <w:p>
      <w:pPr>
        <w:widowControl/>
        <w:snapToGrid w:val="0"/>
        <w:spacing w:after="0" w:line="360" w:lineRule="auto"/>
        <w:ind w:firstLine="420" w:firstLineChars="200"/>
        <w:jc w:val="left"/>
        <w:rPr>
          <w:rFonts w:ascii="宋体" w:hAnsi="宋体" w:cs="宋体"/>
          <w:kern w:val="0"/>
          <w:szCs w:val="21"/>
        </w:rPr>
      </w:pPr>
      <w:r>
        <w:rPr>
          <w:rFonts w:hint="eastAsia" w:ascii="宋体" w:hAnsi="宋体" w:cs="宋体"/>
          <w:kern w:val="0"/>
          <w:szCs w:val="21"/>
        </w:rPr>
        <w:t>（3）有合法注册的医生和护士常驻执业。</w:t>
      </w:r>
    </w:p>
    <w:p>
      <w:pPr>
        <w:pStyle w:val="26"/>
        <w:autoSpaceDE w:val="0"/>
        <w:autoSpaceDN w:val="0"/>
        <w:adjustRightInd w:val="0"/>
        <w:snapToGrid w:val="0"/>
        <w:spacing w:after="0" w:line="360" w:lineRule="auto"/>
        <w:ind w:firstLine="422"/>
        <w:rPr>
          <w:rFonts w:ascii="宋体" w:hAnsi="宋体" w:cs="宋体"/>
          <w:b/>
          <w:szCs w:val="21"/>
        </w:rPr>
      </w:pPr>
      <w:r>
        <w:rPr>
          <w:rFonts w:ascii="宋体" w:hAnsi="宋体" w:cs="宋体"/>
          <w:b/>
          <w:bCs/>
          <w:kern w:val="0"/>
          <w:szCs w:val="21"/>
        </w:rPr>
        <w:t>4</w:t>
      </w:r>
      <w:r>
        <w:rPr>
          <w:rFonts w:hint="eastAsia" w:ascii="宋体" w:hAnsi="宋体" w:cs="宋体"/>
          <w:b/>
          <w:bCs/>
          <w:szCs w:val="21"/>
        </w:rPr>
        <w:t>、保险金申请人</w:t>
      </w:r>
      <w:r>
        <w:rPr>
          <w:rFonts w:hint="eastAsia" w:ascii="宋体" w:hAnsi="宋体" w:cs="宋体"/>
          <w:szCs w:val="21"/>
        </w:rPr>
        <w:t>：指被保险人，受益人，被保险人、受益人的继承人或其他依法享有保险金请求权的自然人。</w:t>
      </w:r>
    </w:p>
    <w:p>
      <w:pPr>
        <w:pStyle w:val="16"/>
        <w:spacing w:line="360" w:lineRule="auto"/>
        <w:ind w:left="0" w:leftChars="0"/>
        <w:rPr>
          <w:rFonts w:ascii="宋体" w:hAnsi="宋体" w:cs="宋体"/>
          <w:szCs w:val="21"/>
          <w:highlight w:val="yellow"/>
        </w:rPr>
      </w:pPr>
    </w:p>
    <w:p>
      <w:pPr>
        <w:pStyle w:val="16"/>
        <w:spacing w:line="360" w:lineRule="auto"/>
        <w:ind w:left="0" w:leftChars="0"/>
        <w:rPr>
          <w:rFonts w:ascii="宋体" w:hAnsi="宋体" w:cs="宋体"/>
          <w:bCs/>
          <w:szCs w:val="21"/>
          <w:highlight w:val="yellow"/>
        </w:rPr>
      </w:pPr>
    </w:p>
    <w:p>
      <w:pPr>
        <w:numPr>
          <w:ilvl w:val="255"/>
          <w:numId w:val="0"/>
        </w:numPr>
        <w:adjustRightInd w:val="0"/>
        <w:snapToGrid w:val="0"/>
        <w:spacing w:line="360" w:lineRule="auto"/>
        <w:rPr>
          <w:rFonts w:ascii="宋体" w:hAnsi="宋体" w:cs="宋体"/>
          <w:b/>
          <w:bCs/>
          <w:szCs w:val="21"/>
        </w:rPr>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6"/>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D21030"/>
    <w:multiLevelType w:val="singleLevel"/>
    <w:tmpl w:val="62D21030"/>
    <w:lvl w:ilvl="0" w:tentative="0">
      <w:start w:val="1"/>
      <w:numFmt w:val="chineseCounting"/>
      <w:suff w:val="nothing"/>
      <w:lvlText w:val="（%1）"/>
      <w:lvlJc w:val="left"/>
      <w:pPr>
        <w:ind w:left="5"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QxOTg0ZTg2NjA3ZGU0MTY2MmU0Yjk5YzMyNzRlOGMifQ=="/>
  </w:docVars>
  <w:rsids>
    <w:rsidRoot w:val="00172A27"/>
    <w:rsid w:val="000142B7"/>
    <w:rsid w:val="00017DBA"/>
    <w:rsid w:val="0002007E"/>
    <w:rsid w:val="00022CB2"/>
    <w:rsid w:val="000329F6"/>
    <w:rsid w:val="000376AA"/>
    <w:rsid w:val="00046C52"/>
    <w:rsid w:val="00051A28"/>
    <w:rsid w:val="0005547F"/>
    <w:rsid w:val="00066F06"/>
    <w:rsid w:val="00081AE4"/>
    <w:rsid w:val="0008402D"/>
    <w:rsid w:val="000870A4"/>
    <w:rsid w:val="00092EDD"/>
    <w:rsid w:val="000979A6"/>
    <w:rsid w:val="00097BA9"/>
    <w:rsid w:val="000A02A2"/>
    <w:rsid w:val="000A4ABF"/>
    <w:rsid w:val="000A4DF9"/>
    <w:rsid w:val="000A4E06"/>
    <w:rsid w:val="000C1095"/>
    <w:rsid w:val="000C698A"/>
    <w:rsid w:val="000C7576"/>
    <w:rsid w:val="000D346A"/>
    <w:rsid w:val="000D3934"/>
    <w:rsid w:val="000E3CC6"/>
    <w:rsid w:val="000F03DA"/>
    <w:rsid w:val="000F0703"/>
    <w:rsid w:val="000F5D88"/>
    <w:rsid w:val="00106EBE"/>
    <w:rsid w:val="001204B0"/>
    <w:rsid w:val="00122A29"/>
    <w:rsid w:val="00131FA6"/>
    <w:rsid w:val="00133FDA"/>
    <w:rsid w:val="00134AE0"/>
    <w:rsid w:val="00134EA1"/>
    <w:rsid w:val="00137B6B"/>
    <w:rsid w:val="00146433"/>
    <w:rsid w:val="00150E22"/>
    <w:rsid w:val="00162B02"/>
    <w:rsid w:val="00172A27"/>
    <w:rsid w:val="001746D2"/>
    <w:rsid w:val="0018174F"/>
    <w:rsid w:val="001844F7"/>
    <w:rsid w:val="001853BD"/>
    <w:rsid w:val="00186B4F"/>
    <w:rsid w:val="001A02C0"/>
    <w:rsid w:val="001A3839"/>
    <w:rsid w:val="001A53AE"/>
    <w:rsid w:val="001A6EB7"/>
    <w:rsid w:val="001A74AA"/>
    <w:rsid w:val="001A74B6"/>
    <w:rsid w:val="001C4FE9"/>
    <w:rsid w:val="001C51FC"/>
    <w:rsid w:val="001C71F3"/>
    <w:rsid w:val="001D20F6"/>
    <w:rsid w:val="001D3C63"/>
    <w:rsid w:val="001D773A"/>
    <w:rsid w:val="001E0AD7"/>
    <w:rsid w:val="001E105C"/>
    <w:rsid w:val="001E46D6"/>
    <w:rsid w:val="001E6198"/>
    <w:rsid w:val="001F634A"/>
    <w:rsid w:val="002025AE"/>
    <w:rsid w:val="002064DB"/>
    <w:rsid w:val="0021153B"/>
    <w:rsid w:val="00217453"/>
    <w:rsid w:val="002177C3"/>
    <w:rsid w:val="002355A7"/>
    <w:rsid w:val="00243750"/>
    <w:rsid w:val="0024449C"/>
    <w:rsid w:val="002476B0"/>
    <w:rsid w:val="002500A5"/>
    <w:rsid w:val="00251442"/>
    <w:rsid w:val="00254F62"/>
    <w:rsid w:val="002558A5"/>
    <w:rsid w:val="0026023A"/>
    <w:rsid w:val="0026445C"/>
    <w:rsid w:val="002725CF"/>
    <w:rsid w:val="002747E8"/>
    <w:rsid w:val="00275606"/>
    <w:rsid w:val="00275EFB"/>
    <w:rsid w:val="002763D4"/>
    <w:rsid w:val="00280513"/>
    <w:rsid w:val="00280E26"/>
    <w:rsid w:val="00282F2E"/>
    <w:rsid w:val="002855F3"/>
    <w:rsid w:val="00286770"/>
    <w:rsid w:val="00286E74"/>
    <w:rsid w:val="00291D51"/>
    <w:rsid w:val="002A6777"/>
    <w:rsid w:val="002A742F"/>
    <w:rsid w:val="002B233C"/>
    <w:rsid w:val="002B48F3"/>
    <w:rsid w:val="002B49FF"/>
    <w:rsid w:val="002B705F"/>
    <w:rsid w:val="002C59A4"/>
    <w:rsid w:val="002D3D18"/>
    <w:rsid w:val="002D6101"/>
    <w:rsid w:val="002E099D"/>
    <w:rsid w:val="002E3A41"/>
    <w:rsid w:val="002E3BCA"/>
    <w:rsid w:val="002E51C8"/>
    <w:rsid w:val="002F4C1E"/>
    <w:rsid w:val="002F5F29"/>
    <w:rsid w:val="003034F0"/>
    <w:rsid w:val="00316C49"/>
    <w:rsid w:val="003176D9"/>
    <w:rsid w:val="00323BC8"/>
    <w:rsid w:val="0032504B"/>
    <w:rsid w:val="00337EE6"/>
    <w:rsid w:val="0034291E"/>
    <w:rsid w:val="00344732"/>
    <w:rsid w:val="003611CE"/>
    <w:rsid w:val="003623F4"/>
    <w:rsid w:val="003625BC"/>
    <w:rsid w:val="003650EB"/>
    <w:rsid w:val="00366074"/>
    <w:rsid w:val="0037585C"/>
    <w:rsid w:val="00387307"/>
    <w:rsid w:val="00390BA5"/>
    <w:rsid w:val="00396B7A"/>
    <w:rsid w:val="003A39AB"/>
    <w:rsid w:val="003A5559"/>
    <w:rsid w:val="003B43DA"/>
    <w:rsid w:val="003B4C49"/>
    <w:rsid w:val="003C2587"/>
    <w:rsid w:val="003E0A99"/>
    <w:rsid w:val="003E0E34"/>
    <w:rsid w:val="003E1A17"/>
    <w:rsid w:val="003E61C5"/>
    <w:rsid w:val="003F0038"/>
    <w:rsid w:val="003F1684"/>
    <w:rsid w:val="003F2010"/>
    <w:rsid w:val="003F3F5B"/>
    <w:rsid w:val="00407250"/>
    <w:rsid w:val="00407DB6"/>
    <w:rsid w:val="004109BB"/>
    <w:rsid w:val="00413157"/>
    <w:rsid w:val="00415424"/>
    <w:rsid w:val="00420BC3"/>
    <w:rsid w:val="00425AC4"/>
    <w:rsid w:val="00426D46"/>
    <w:rsid w:val="0043163B"/>
    <w:rsid w:val="004318D3"/>
    <w:rsid w:val="00453EC3"/>
    <w:rsid w:val="00473941"/>
    <w:rsid w:val="004863CD"/>
    <w:rsid w:val="004873C8"/>
    <w:rsid w:val="00492003"/>
    <w:rsid w:val="0049674C"/>
    <w:rsid w:val="0049744C"/>
    <w:rsid w:val="004A0264"/>
    <w:rsid w:val="004A09A1"/>
    <w:rsid w:val="004A33FD"/>
    <w:rsid w:val="004A4762"/>
    <w:rsid w:val="004B1155"/>
    <w:rsid w:val="004B44D3"/>
    <w:rsid w:val="004C4084"/>
    <w:rsid w:val="004D6059"/>
    <w:rsid w:val="004E5024"/>
    <w:rsid w:val="004E62D6"/>
    <w:rsid w:val="004E6C0D"/>
    <w:rsid w:val="004E7480"/>
    <w:rsid w:val="004F15E7"/>
    <w:rsid w:val="004F540B"/>
    <w:rsid w:val="0050173E"/>
    <w:rsid w:val="00502643"/>
    <w:rsid w:val="00510A3F"/>
    <w:rsid w:val="00510BD8"/>
    <w:rsid w:val="00510F31"/>
    <w:rsid w:val="0051685B"/>
    <w:rsid w:val="005229C6"/>
    <w:rsid w:val="00525821"/>
    <w:rsid w:val="00530CFB"/>
    <w:rsid w:val="00531824"/>
    <w:rsid w:val="005336CC"/>
    <w:rsid w:val="005506A7"/>
    <w:rsid w:val="005720A1"/>
    <w:rsid w:val="00590390"/>
    <w:rsid w:val="005A25F9"/>
    <w:rsid w:val="005A68FB"/>
    <w:rsid w:val="005A78B2"/>
    <w:rsid w:val="005C10AF"/>
    <w:rsid w:val="005C72C4"/>
    <w:rsid w:val="005C7821"/>
    <w:rsid w:val="005D2320"/>
    <w:rsid w:val="005D7B9A"/>
    <w:rsid w:val="005E2ED9"/>
    <w:rsid w:val="005F023D"/>
    <w:rsid w:val="00603D2E"/>
    <w:rsid w:val="00604D86"/>
    <w:rsid w:val="0060526F"/>
    <w:rsid w:val="00605E49"/>
    <w:rsid w:val="0061784A"/>
    <w:rsid w:val="006313CB"/>
    <w:rsid w:val="00635359"/>
    <w:rsid w:val="0064107A"/>
    <w:rsid w:val="00646EE7"/>
    <w:rsid w:val="00670630"/>
    <w:rsid w:val="00684C71"/>
    <w:rsid w:val="00695273"/>
    <w:rsid w:val="00696B3B"/>
    <w:rsid w:val="006975A3"/>
    <w:rsid w:val="006A4901"/>
    <w:rsid w:val="006D3AD8"/>
    <w:rsid w:val="006D6994"/>
    <w:rsid w:val="006D7C48"/>
    <w:rsid w:val="006E73DE"/>
    <w:rsid w:val="006E75C2"/>
    <w:rsid w:val="006F39B9"/>
    <w:rsid w:val="0070123B"/>
    <w:rsid w:val="00707BD9"/>
    <w:rsid w:val="0071564E"/>
    <w:rsid w:val="007168D2"/>
    <w:rsid w:val="007279B0"/>
    <w:rsid w:val="00730B8B"/>
    <w:rsid w:val="00741DE5"/>
    <w:rsid w:val="00741FCD"/>
    <w:rsid w:val="007451AF"/>
    <w:rsid w:val="0074788E"/>
    <w:rsid w:val="00752785"/>
    <w:rsid w:val="00753205"/>
    <w:rsid w:val="007535A4"/>
    <w:rsid w:val="00753D42"/>
    <w:rsid w:val="00755C22"/>
    <w:rsid w:val="00770599"/>
    <w:rsid w:val="00786F3F"/>
    <w:rsid w:val="007A1E80"/>
    <w:rsid w:val="007A2E08"/>
    <w:rsid w:val="007A334A"/>
    <w:rsid w:val="007B1518"/>
    <w:rsid w:val="007B1D0E"/>
    <w:rsid w:val="007B2F20"/>
    <w:rsid w:val="007C6F84"/>
    <w:rsid w:val="007E6201"/>
    <w:rsid w:val="00800561"/>
    <w:rsid w:val="008024AD"/>
    <w:rsid w:val="0080505B"/>
    <w:rsid w:val="0081009B"/>
    <w:rsid w:val="008172C6"/>
    <w:rsid w:val="00821079"/>
    <w:rsid w:val="00821545"/>
    <w:rsid w:val="008257A9"/>
    <w:rsid w:val="008304E8"/>
    <w:rsid w:val="00835F8A"/>
    <w:rsid w:val="008443A8"/>
    <w:rsid w:val="008474E3"/>
    <w:rsid w:val="008476E2"/>
    <w:rsid w:val="0085734B"/>
    <w:rsid w:val="0086102C"/>
    <w:rsid w:val="0086317F"/>
    <w:rsid w:val="00866C92"/>
    <w:rsid w:val="00880E07"/>
    <w:rsid w:val="00886329"/>
    <w:rsid w:val="008863B7"/>
    <w:rsid w:val="00895557"/>
    <w:rsid w:val="00896D34"/>
    <w:rsid w:val="00897977"/>
    <w:rsid w:val="00897985"/>
    <w:rsid w:val="008A26D1"/>
    <w:rsid w:val="008A2BAB"/>
    <w:rsid w:val="008A3082"/>
    <w:rsid w:val="008A4476"/>
    <w:rsid w:val="008B11BA"/>
    <w:rsid w:val="008C4619"/>
    <w:rsid w:val="008C7FC8"/>
    <w:rsid w:val="008D6A01"/>
    <w:rsid w:val="008D6D54"/>
    <w:rsid w:val="008D78CC"/>
    <w:rsid w:val="008E024E"/>
    <w:rsid w:val="008E44B4"/>
    <w:rsid w:val="008F6EF5"/>
    <w:rsid w:val="00906A02"/>
    <w:rsid w:val="00906D41"/>
    <w:rsid w:val="0092641E"/>
    <w:rsid w:val="009300EC"/>
    <w:rsid w:val="00930664"/>
    <w:rsid w:val="00932361"/>
    <w:rsid w:val="00932F22"/>
    <w:rsid w:val="00942356"/>
    <w:rsid w:val="0095112E"/>
    <w:rsid w:val="00952BC7"/>
    <w:rsid w:val="009609CD"/>
    <w:rsid w:val="00964C61"/>
    <w:rsid w:val="00965B19"/>
    <w:rsid w:val="009670E5"/>
    <w:rsid w:val="0097769A"/>
    <w:rsid w:val="00980148"/>
    <w:rsid w:val="00986923"/>
    <w:rsid w:val="009913B5"/>
    <w:rsid w:val="00991EAC"/>
    <w:rsid w:val="009A146C"/>
    <w:rsid w:val="009A3DB7"/>
    <w:rsid w:val="009B0511"/>
    <w:rsid w:val="009B64F4"/>
    <w:rsid w:val="009B6D10"/>
    <w:rsid w:val="009C67DF"/>
    <w:rsid w:val="009D31E0"/>
    <w:rsid w:val="009E6D5C"/>
    <w:rsid w:val="009F2074"/>
    <w:rsid w:val="009F4B42"/>
    <w:rsid w:val="00A005B6"/>
    <w:rsid w:val="00A0131B"/>
    <w:rsid w:val="00A052D3"/>
    <w:rsid w:val="00A21139"/>
    <w:rsid w:val="00A24916"/>
    <w:rsid w:val="00A42ED8"/>
    <w:rsid w:val="00A53B67"/>
    <w:rsid w:val="00A54DCB"/>
    <w:rsid w:val="00A55776"/>
    <w:rsid w:val="00A56B8E"/>
    <w:rsid w:val="00A6303D"/>
    <w:rsid w:val="00A632BF"/>
    <w:rsid w:val="00A63B4E"/>
    <w:rsid w:val="00A71921"/>
    <w:rsid w:val="00A71E95"/>
    <w:rsid w:val="00A74917"/>
    <w:rsid w:val="00A770AE"/>
    <w:rsid w:val="00A814DD"/>
    <w:rsid w:val="00A823D1"/>
    <w:rsid w:val="00A90CA7"/>
    <w:rsid w:val="00A90E7F"/>
    <w:rsid w:val="00A95498"/>
    <w:rsid w:val="00AA0981"/>
    <w:rsid w:val="00AA405D"/>
    <w:rsid w:val="00AB280E"/>
    <w:rsid w:val="00AB36F0"/>
    <w:rsid w:val="00AB7C94"/>
    <w:rsid w:val="00AC0461"/>
    <w:rsid w:val="00AC2557"/>
    <w:rsid w:val="00AC48C7"/>
    <w:rsid w:val="00AD6823"/>
    <w:rsid w:val="00B02ECF"/>
    <w:rsid w:val="00B04C76"/>
    <w:rsid w:val="00B057B1"/>
    <w:rsid w:val="00B05E93"/>
    <w:rsid w:val="00B12459"/>
    <w:rsid w:val="00B130A5"/>
    <w:rsid w:val="00B13801"/>
    <w:rsid w:val="00B1584C"/>
    <w:rsid w:val="00B217F9"/>
    <w:rsid w:val="00B22C40"/>
    <w:rsid w:val="00B23583"/>
    <w:rsid w:val="00B24830"/>
    <w:rsid w:val="00B26656"/>
    <w:rsid w:val="00B32DDF"/>
    <w:rsid w:val="00B44B08"/>
    <w:rsid w:val="00B53BC6"/>
    <w:rsid w:val="00B556E0"/>
    <w:rsid w:val="00B60D2A"/>
    <w:rsid w:val="00B6620C"/>
    <w:rsid w:val="00B665A7"/>
    <w:rsid w:val="00B841B0"/>
    <w:rsid w:val="00B91559"/>
    <w:rsid w:val="00B91B6C"/>
    <w:rsid w:val="00B94421"/>
    <w:rsid w:val="00BA19B0"/>
    <w:rsid w:val="00BA1EC4"/>
    <w:rsid w:val="00BA7166"/>
    <w:rsid w:val="00BA7CD0"/>
    <w:rsid w:val="00BB2001"/>
    <w:rsid w:val="00BB65DF"/>
    <w:rsid w:val="00BC3FCB"/>
    <w:rsid w:val="00BC3FE9"/>
    <w:rsid w:val="00BC6088"/>
    <w:rsid w:val="00BC6D8A"/>
    <w:rsid w:val="00BD07FE"/>
    <w:rsid w:val="00BD0EB9"/>
    <w:rsid w:val="00BD1E7B"/>
    <w:rsid w:val="00BE29E4"/>
    <w:rsid w:val="00BE577B"/>
    <w:rsid w:val="00BF02E4"/>
    <w:rsid w:val="00BF3A30"/>
    <w:rsid w:val="00BF403E"/>
    <w:rsid w:val="00C00917"/>
    <w:rsid w:val="00C04281"/>
    <w:rsid w:val="00C04CED"/>
    <w:rsid w:val="00C20E4F"/>
    <w:rsid w:val="00C33111"/>
    <w:rsid w:val="00C4326A"/>
    <w:rsid w:val="00C463C3"/>
    <w:rsid w:val="00C5035E"/>
    <w:rsid w:val="00C50784"/>
    <w:rsid w:val="00C53761"/>
    <w:rsid w:val="00C57903"/>
    <w:rsid w:val="00C600FC"/>
    <w:rsid w:val="00C6056F"/>
    <w:rsid w:val="00C66278"/>
    <w:rsid w:val="00C75AC5"/>
    <w:rsid w:val="00C80482"/>
    <w:rsid w:val="00C80BFA"/>
    <w:rsid w:val="00C80F21"/>
    <w:rsid w:val="00C821B0"/>
    <w:rsid w:val="00C93BFC"/>
    <w:rsid w:val="00CA03D6"/>
    <w:rsid w:val="00CA1B27"/>
    <w:rsid w:val="00CA1EAB"/>
    <w:rsid w:val="00CA7758"/>
    <w:rsid w:val="00CC0E4F"/>
    <w:rsid w:val="00CC7A36"/>
    <w:rsid w:val="00CD5585"/>
    <w:rsid w:val="00CD5F16"/>
    <w:rsid w:val="00CE0748"/>
    <w:rsid w:val="00CE1BAA"/>
    <w:rsid w:val="00CF22F5"/>
    <w:rsid w:val="00CF6806"/>
    <w:rsid w:val="00D14FE2"/>
    <w:rsid w:val="00D27136"/>
    <w:rsid w:val="00D307E4"/>
    <w:rsid w:val="00D373A7"/>
    <w:rsid w:val="00D37B12"/>
    <w:rsid w:val="00D4600B"/>
    <w:rsid w:val="00D47074"/>
    <w:rsid w:val="00D5205C"/>
    <w:rsid w:val="00D54621"/>
    <w:rsid w:val="00D55220"/>
    <w:rsid w:val="00D56212"/>
    <w:rsid w:val="00D6189C"/>
    <w:rsid w:val="00D662C3"/>
    <w:rsid w:val="00D72E53"/>
    <w:rsid w:val="00D77724"/>
    <w:rsid w:val="00D80821"/>
    <w:rsid w:val="00D80E23"/>
    <w:rsid w:val="00D83D7B"/>
    <w:rsid w:val="00D85D23"/>
    <w:rsid w:val="00D93A31"/>
    <w:rsid w:val="00D96DA7"/>
    <w:rsid w:val="00D97051"/>
    <w:rsid w:val="00DA05B3"/>
    <w:rsid w:val="00DA1D0A"/>
    <w:rsid w:val="00DA55D6"/>
    <w:rsid w:val="00DA7ED1"/>
    <w:rsid w:val="00DB2642"/>
    <w:rsid w:val="00DB6495"/>
    <w:rsid w:val="00DB7F6E"/>
    <w:rsid w:val="00DC482A"/>
    <w:rsid w:val="00DD2C1E"/>
    <w:rsid w:val="00DD7E75"/>
    <w:rsid w:val="00DE25F3"/>
    <w:rsid w:val="00DE2F07"/>
    <w:rsid w:val="00DF0006"/>
    <w:rsid w:val="00DF1B82"/>
    <w:rsid w:val="00E25A06"/>
    <w:rsid w:val="00E46D7D"/>
    <w:rsid w:val="00E507DA"/>
    <w:rsid w:val="00E52A76"/>
    <w:rsid w:val="00E53EDA"/>
    <w:rsid w:val="00E54BBB"/>
    <w:rsid w:val="00E55270"/>
    <w:rsid w:val="00E55EE9"/>
    <w:rsid w:val="00E60008"/>
    <w:rsid w:val="00E62CC6"/>
    <w:rsid w:val="00E727D3"/>
    <w:rsid w:val="00E80C7A"/>
    <w:rsid w:val="00E827AA"/>
    <w:rsid w:val="00E844E0"/>
    <w:rsid w:val="00E851A3"/>
    <w:rsid w:val="00E93747"/>
    <w:rsid w:val="00E94630"/>
    <w:rsid w:val="00E946DA"/>
    <w:rsid w:val="00E95930"/>
    <w:rsid w:val="00E95D0E"/>
    <w:rsid w:val="00E96032"/>
    <w:rsid w:val="00EA0512"/>
    <w:rsid w:val="00EA3FD8"/>
    <w:rsid w:val="00EB2720"/>
    <w:rsid w:val="00EB342E"/>
    <w:rsid w:val="00EB63C0"/>
    <w:rsid w:val="00EC6428"/>
    <w:rsid w:val="00ED4986"/>
    <w:rsid w:val="00ED5805"/>
    <w:rsid w:val="00EE1931"/>
    <w:rsid w:val="00EE5279"/>
    <w:rsid w:val="00EF3FF2"/>
    <w:rsid w:val="00F02817"/>
    <w:rsid w:val="00F031AD"/>
    <w:rsid w:val="00F07C13"/>
    <w:rsid w:val="00F14BBC"/>
    <w:rsid w:val="00F1512D"/>
    <w:rsid w:val="00F20E4C"/>
    <w:rsid w:val="00F22A42"/>
    <w:rsid w:val="00F24CE5"/>
    <w:rsid w:val="00F31C4D"/>
    <w:rsid w:val="00F37889"/>
    <w:rsid w:val="00F454DD"/>
    <w:rsid w:val="00F54022"/>
    <w:rsid w:val="00F567DB"/>
    <w:rsid w:val="00F6288D"/>
    <w:rsid w:val="00F66C4D"/>
    <w:rsid w:val="00F66E23"/>
    <w:rsid w:val="00F66E7A"/>
    <w:rsid w:val="00F67963"/>
    <w:rsid w:val="00F708EE"/>
    <w:rsid w:val="00F73DEB"/>
    <w:rsid w:val="00F73FA9"/>
    <w:rsid w:val="00FA7E60"/>
    <w:rsid w:val="00FB04D3"/>
    <w:rsid w:val="00FC0F18"/>
    <w:rsid w:val="00FC65EB"/>
    <w:rsid w:val="00FC73F3"/>
    <w:rsid w:val="00FC7A90"/>
    <w:rsid w:val="00FD5F7D"/>
    <w:rsid w:val="00FD78AC"/>
    <w:rsid w:val="00FE4D87"/>
    <w:rsid w:val="00FE55A6"/>
    <w:rsid w:val="00FE5C44"/>
    <w:rsid w:val="00FE6C2E"/>
    <w:rsid w:val="00FF24BF"/>
    <w:rsid w:val="00FF4D20"/>
    <w:rsid w:val="00FF4DEF"/>
    <w:rsid w:val="01990FCF"/>
    <w:rsid w:val="019C1500"/>
    <w:rsid w:val="01D23256"/>
    <w:rsid w:val="021E5AFF"/>
    <w:rsid w:val="023068ED"/>
    <w:rsid w:val="02320362"/>
    <w:rsid w:val="02782986"/>
    <w:rsid w:val="02C12512"/>
    <w:rsid w:val="02F961FA"/>
    <w:rsid w:val="03655EFB"/>
    <w:rsid w:val="039765E3"/>
    <w:rsid w:val="04427CFE"/>
    <w:rsid w:val="05003548"/>
    <w:rsid w:val="063B1BEA"/>
    <w:rsid w:val="07693FFA"/>
    <w:rsid w:val="079F27F2"/>
    <w:rsid w:val="07D40FC4"/>
    <w:rsid w:val="07DB203F"/>
    <w:rsid w:val="08AF37C2"/>
    <w:rsid w:val="08BD367D"/>
    <w:rsid w:val="091D2CC5"/>
    <w:rsid w:val="09C57094"/>
    <w:rsid w:val="0A63099F"/>
    <w:rsid w:val="0A72581B"/>
    <w:rsid w:val="0AD6133E"/>
    <w:rsid w:val="0B26299A"/>
    <w:rsid w:val="0B52359D"/>
    <w:rsid w:val="0B8E7BBA"/>
    <w:rsid w:val="0C1A2160"/>
    <w:rsid w:val="0CA46E43"/>
    <w:rsid w:val="0D80481C"/>
    <w:rsid w:val="0DA62418"/>
    <w:rsid w:val="0DB22432"/>
    <w:rsid w:val="0DB3035A"/>
    <w:rsid w:val="0DCC7981"/>
    <w:rsid w:val="0E4165AE"/>
    <w:rsid w:val="0E9F2D44"/>
    <w:rsid w:val="0F3248FF"/>
    <w:rsid w:val="103905D8"/>
    <w:rsid w:val="10966080"/>
    <w:rsid w:val="109A78D1"/>
    <w:rsid w:val="111B5EB8"/>
    <w:rsid w:val="11483FA0"/>
    <w:rsid w:val="118832C7"/>
    <w:rsid w:val="11A71080"/>
    <w:rsid w:val="120B722C"/>
    <w:rsid w:val="12371157"/>
    <w:rsid w:val="13A10B93"/>
    <w:rsid w:val="13CE2E08"/>
    <w:rsid w:val="143A6FA2"/>
    <w:rsid w:val="143E7E2E"/>
    <w:rsid w:val="148B578A"/>
    <w:rsid w:val="14B67D5D"/>
    <w:rsid w:val="15941BB8"/>
    <w:rsid w:val="164F00E1"/>
    <w:rsid w:val="17B23B82"/>
    <w:rsid w:val="17C07B52"/>
    <w:rsid w:val="17FBB487"/>
    <w:rsid w:val="184900F6"/>
    <w:rsid w:val="185C2C22"/>
    <w:rsid w:val="185D76B3"/>
    <w:rsid w:val="18784DF0"/>
    <w:rsid w:val="18796F42"/>
    <w:rsid w:val="188E2081"/>
    <w:rsid w:val="18B13B9F"/>
    <w:rsid w:val="18E130E5"/>
    <w:rsid w:val="19847A4B"/>
    <w:rsid w:val="19E13033"/>
    <w:rsid w:val="1ABF26B3"/>
    <w:rsid w:val="1B0725FB"/>
    <w:rsid w:val="1B0D46AB"/>
    <w:rsid w:val="1B8177B3"/>
    <w:rsid w:val="1C084227"/>
    <w:rsid w:val="1C733C53"/>
    <w:rsid w:val="1CF775E6"/>
    <w:rsid w:val="1E026C06"/>
    <w:rsid w:val="1E5A16DF"/>
    <w:rsid w:val="1E706A12"/>
    <w:rsid w:val="1ED1442D"/>
    <w:rsid w:val="1F012FFA"/>
    <w:rsid w:val="1FAA5C41"/>
    <w:rsid w:val="1FB3700B"/>
    <w:rsid w:val="1FBE1DF6"/>
    <w:rsid w:val="20270057"/>
    <w:rsid w:val="20CA3553"/>
    <w:rsid w:val="22CA3AE3"/>
    <w:rsid w:val="23010D76"/>
    <w:rsid w:val="233E0189"/>
    <w:rsid w:val="234F03F0"/>
    <w:rsid w:val="23636E3F"/>
    <w:rsid w:val="247973AD"/>
    <w:rsid w:val="24FB3F7A"/>
    <w:rsid w:val="25F71FAA"/>
    <w:rsid w:val="26C85C0D"/>
    <w:rsid w:val="26D42FC1"/>
    <w:rsid w:val="271E1343"/>
    <w:rsid w:val="277258C7"/>
    <w:rsid w:val="2838177F"/>
    <w:rsid w:val="29633662"/>
    <w:rsid w:val="2BA96DF2"/>
    <w:rsid w:val="2CE37ABA"/>
    <w:rsid w:val="2DD87B8E"/>
    <w:rsid w:val="2ED50718"/>
    <w:rsid w:val="2F30763C"/>
    <w:rsid w:val="2F995AB7"/>
    <w:rsid w:val="304A1C27"/>
    <w:rsid w:val="30D37C3E"/>
    <w:rsid w:val="3115194D"/>
    <w:rsid w:val="31BC269F"/>
    <w:rsid w:val="322E126C"/>
    <w:rsid w:val="324217F1"/>
    <w:rsid w:val="32573D2C"/>
    <w:rsid w:val="327B2509"/>
    <w:rsid w:val="328A5D6F"/>
    <w:rsid w:val="32B6603F"/>
    <w:rsid w:val="32C7164B"/>
    <w:rsid w:val="330A0376"/>
    <w:rsid w:val="330F1FA2"/>
    <w:rsid w:val="33EA7294"/>
    <w:rsid w:val="33FB2116"/>
    <w:rsid w:val="34112086"/>
    <w:rsid w:val="34513898"/>
    <w:rsid w:val="34690143"/>
    <w:rsid w:val="35172458"/>
    <w:rsid w:val="36581519"/>
    <w:rsid w:val="366C7ED4"/>
    <w:rsid w:val="36EB2E01"/>
    <w:rsid w:val="37F67456"/>
    <w:rsid w:val="37FE6462"/>
    <w:rsid w:val="38082ACA"/>
    <w:rsid w:val="381B3817"/>
    <w:rsid w:val="38B53EED"/>
    <w:rsid w:val="38D83740"/>
    <w:rsid w:val="38E578F5"/>
    <w:rsid w:val="39017B66"/>
    <w:rsid w:val="399327DF"/>
    <w:rsid w:val="39B15E87"/>
    <w:rsid w:val="3A4C7778"/>
    <w:rsid w:val="3A992D24"/>
    <w:rsid w:val="3C0D0655"/>
    <w:rsid w:val="3C5B5C59"/>
    <w:rsid w:val="3CC2593E"/>
    <w:rsid w:val="3D800467"/>
    <w:rsid w:val="3EC14B5E"/>
    <w:rsid w:val="3FED0314"/>
    <w:rsid w:val="410E7B72"/>
    <w:rsid w:val="4142502D"/>
    <w:rsid w:val="42415557"/>
    <w:rsid w:val="427267D0"/>
    <w:rsid w:val="427D1C8E"/>
    <w:rsid w:val="428B4E66"/>
    <w:rsid w:val="430A1953"/>
    <w:rsid w:val="431A4D45"/>
    <w:rsid w:val="43875E62"/>
    <w:rsid w:val="43A209A9"/>
    <w:rsid w:val="43B07126"/>
    <w:rsid w:val="43FC1FED"/>
    <w:rsid w:val="44E030BF"/>
    <w:rsid w:val="458763D8"/>
    <w:rsid w:val="45AC59B3"/>
    <w:rsid w:val="45AF4D69"/>
    <w:rsid w:val="46233A5D"/>
    <w:rsid w:val="46DC60C8"/>
    <w:rsid w:val="46E55A3A"/>
    <w:rsid w:val="47250DB3"/>
    <w:rsid w:val="472555F6"/>
    <w:rsid w:val="476601E4"/>
    <w:rsid w:val="4791772B"/>
    <w:rsid w:val="480B04C0"/>
    <w:rsid w:val="481D3E36"/>
    <w:rsid w:val="48830DD7"/>
    <w:rsid w:val="48F36631"/>
    <w:rsid w:val="48F577AA"/>
    <w:rsid w:val="491E2CFD"/>
    <w:rsid w:val="49323A27"/>
    <w:rsid w:val="497E039B"/>
    <w:rsid w:val="4AE5270C"/>
    <w:rsid w:val="4B5D2A41"/>
    <w:rsid w:val="4BF93E49"/>
    <w:rsid w:val="4C4B45EA"/>
    <w:rsid w:val="4C831EDD"/>
    <w:rsid w:val="4C9F766D"/>
    <w:rsid w:val="4CC37D6F"/>
    <w:rsid w:val="4CCA108B"/>
    <w:rsid w:val="4CE865A1"/>
    <w:rsid w:val="4D2E6861"/>
    <w:rsid w:val="4D393F97"/>
    <w:rsid w:val="4E50606B"/>
    <w:rsid w:val="4E6C01D1"/>
    <w:rsid w:val="4EEB7FA6"/>
    <w:rsid w:val="4F284F40"/>
    <w:rsid w:val="4F6520DE"/>
    <w:rsid w:val="4F7A33EC"/>
    <w:rsid w:val="502C070E"/>
    <w:rsid w:val="5054271F"/>
    <w:rsid w:val="505A7C1D"/>
    <w:rsid w:val="5078109C"/>
    <w:rsid w:val="509669DD"/>
    <w:rsid w:val="50C11BED"/>
    <w:rsid w:val="50C65243"/>
    <w:rsid w:val="50FF470D"/>
    <w:rsid w:val="512C2F2E"/>
    <w:rsid w:val="513D7776"/>
    <w:rsid w:val="51977BD1"/>
    <w:rsid w:val="51BD627C"/>
    <w:rsid w:val="51C3705C"/>
    <w:rsid w:val="53D86977"/>
    <w:rsid w:val="53FF609A"/>
    <w:rsid w:val="54EE2496"/>
    <w:rsid w:val="55065FC5"/>
    <w:rsid w:val="554016D1"/>
    <w:rsid w:val="55493400"/>
    <w:rsid w:val="554B17AF"/>
    <w:rsid w:val="556145CD"/>
    <w:rsid w:val="569C2897"/>
    <w:rsid w:val="56DD7AC2"/>
    <w:rsid w:val="57641521"/>
    <w:rsid w:val="579453D2"/>
    <w:rsid w:val="579A7BDA"/>
    <w:rsid w:val="57C452D4"/>
    <w:rsid w:val="586A168F"/>
    <w:rsid w:val="59254B8B"/>
    <w:rsid w:val="597D2CF0"/>
    <w:rsid w:val="59BC37A9"/>
    <w:rsid w:val="59E66A9E"/>
    <w:rsid w:val="5C194B1E"/>
    <w:rsid w:val="5C6E1E6D"/>
    <w:rsid w:val="5D1D1810"/>
    <w:rsid w:val="5D325E1E"/>
    <w:rsid w:val="5DA10497"/>
    <w:rsid w:val="5EA66AF1"/>
    <w:rsid w:val="5EC2028A"/>
    <w:rsid w:val="5EEC030E"/>
    <w:rsid w:val="5F542851"/>
    <w:rsid w:val="5F6C6C6D"/>
    <w:rsid w:val="607B7E18"/>
    <w:rsid w:val="609443A2"/>
    <w:rsid w:val="616762B4"/>
    <w:rsid w:val="6204299C"/>
    <w:rsid w:val="62381942"/>
    <w:rsid w:val="63841638"/>
    <w:rsid w:val="63BE345E"/>
    <w:rsid w:val="64B94184"/>
    <w:rsid w:val="64E43D21"/>
    <w:rsid w:val="64F04278"/>
    <w:rsid w:val="65CE38AF"/>
    <w:rsid w:val="663A4434"/>
    <w:rsid w:val="664A7D6E"/>
    <w:rsid w:val="672D36E9"/>
    <w:rsid w:val="678C226F"/>
    <w:rsid w:val="67C839BB"/>
    <w:rsid w:val="67EC44BA"/>
    <w:rsid w:val="683703BC"/>
    <w:rsid w:val="69206A45"/>
    <w:rsid w:val="69504757"/>
    <w:rsid w:val="69AA0E89"/>
    <w:rsid w:val="6A7252EF"/>
    <w:rsid w:val="6B770B18"/>
    <w:rsid w:val="6BFB267A"/>
    <w:rsid w:val="6C03215F"/>
    <w:rsid w:val="6C3C0237"/>
    <w:rsid w:val="6CC7362B"/>
    <w:rsid w:val="6D2D7C65"/>
    <w:rsid w:val="6D532D56"/>
    <w:rsid w:val="6D601764"/>
    <w:rsid w:val="6D883908"/>
    <w:rsid w:val="6D9A6A3D"/>
    <w:rsid w:val="6DFD355E"/>
    <w:rsid w:val="6E553F40"/>
    <w:rsid w:val="6F076F31"/>
    <w:rsid w:val="6FDF1A01"/>
    <w:rsid w:val="70032CA4"/>
    <w:rsid w:val="701B7847"/>
    <w:rsid w:val="707D7BC8"/>
    <w:rsid w:val="716B5257"/>
    <w:rsid w:val="71707925"/>
    <w:rsid w:val="71C93552"/>
    <w:rsid w:val="72912D0C"/>
    <w:rsid w:val="72DB6E31"/>
    <w:rsid w:val="72E5213F"/>
    <w:rsid w:val="72FD3E01"/>
    <w:rsid w:val="743E7D5C"/>
    <w:rsid w:val="749D4645"/>
    <w:rsid w:val="74C36173"/>
    <w:rsid w:val="74F617C8"/>
    <w:rsid w:val="75780B1A"/>
    <w:rsid w:val="75C03A31"/>
    <w:rsid w:val="76512915"/>
    <w:rsid w:val="77151C87"/>
    <w:rsid w:val="77161E07"/>
    <w:rsid w:val="77167731"/>
    <w:rsid w:val="777C292D"/>
    <w:rsid w:val="781C50C5"/>
    <w:rsid w:val="786D42A2"/>
    <w:rsid w:val="78756047"/>
    <w:rsid w:val="78901C3E"/>
    <w:rsid w:val="793B5322"/>
    <w:rsid w:val="798A3C76"/>
    <w:rsid w:val="798C465C"/>
    <w:rsid w:val="79C27B41"/>
    <w:rsid w:val="79F03789"/>
    <w:rsid w:val="7AA3222E"/>
    <w:rsid w:val="7AC526C0"/>
    <w:rsid w:val="7B7DAA7F"/>
    <w:rsid w:val="7C2A3AA4"/>
    <w:rsid w:val="7C3263F4"/>
    <w:rsid w:val="7C60663A"/>
    <w:rsid w:val="7CB82FCF"/>
    <w:rsid w:val="7CFA6430"/>
    <w:rsid w:val="7D7B012D"/>
    <w:rsid w:val="7E2134FD"/>
    <w:rsid w:val="7E48460D"/>
    <w:rsid w:val="7EDA590C"/>
    <w:rsid w:val="7EF07B3C"/>
    <w:rsid w:val="7F3B2B42"/>
    <w:rsid w:val="7FCC1808"/>
    <w:rsid w:val="B359EBE7"/>
    <w:rsid w:val="B8304F37"/>
    <w:rsid w:val="CFCD425B"/>
    <w:rsid w:val="EDEF7718"/>
    <w:rsid w:val="F3DE19E0"/>
    <w:rsid w:val="F597D59F"/>
    <w:rsid w:val="FF6FCF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spacing w:before="240"/>
      <w:ind w:left="229"/>
      <w:outlineLvl w:val="0"/>
    </w:pPr>
    <w:rPr>
      <w:rFonts w:ascii="仿宋" w:hAnsi="仿宋" w:eastAsia="仿宋" w:cs="仿宋"/>
      <w:b/>
      <w:bCs/>
      <w:sz w:val="30"/>
      <w:szCs w:val="30"/>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3"/>
    <w:unhideWhenUsed/>
    <w:qFormat/>
    <w:uiPriority w:val="99"/>
    <w:pPr>
      <w:jc w:val="left"/>
    </w:pPr>
  </w:style>
  <w:style w:type="paragraph" w:styleId="4">
    <w:name w:val="Body Text"/>
    <w:basedOn w:val="1"/>
    <w:unhideWhenUsed/>
    <w:qFormat/>
    <w:uiPriority w:val="99"/>
    <w:pPr>
      <w:spacing w:before="240"/>
      <w:ind w:left="229"/>
    </w:pPr>
    <w:rPr>
      <w:rFonts w:ascii="仿宋" w:hAnsi="仿宋" w:eastAsia="仿宋" w:cs="仿宋"/>
      <w:sz w:val="30"/>
      <w:szCs w:val="30"/>
    </w:rPr>
  </w:style>
  <w:style w:type="paragraph" w:styleId="5">
    <w:name w:val="Balloon Text"/>
    <w:basedOn w:val="1"/>
    <w:link w:val="22"/>
    <w:unhideWhenUsed/>
    <w:qFormat/>
    <w:uiPriority w:val="99"/>
    <w:rPr>
      <w:sz w:val="18"/>
      <w:szCs w:val="18"/>
    </w:rPr>
  </w:style>
  <w:style w:type="paragraph" w:styleId="6">
    <w:name w:val="footer"/>
    <w:basedOn w:val="1"/>
    <w:link w:val="18"/>
    <w:unhideWhenUsed/>
    <w:qFormat/>
    <w:uiPriority w:val="99"/>
    <w:pPr>
      <w:tabs>
        <w:tab w:val="center" w:pos="4153"/>
        <w:tab w:val="right" w:pos="8306"/>
      </w:tabs>
      <w:snapToGrid w:val="0"/>
      <w:jc w:val="left"/>
    </w:pPr>
    <w:rPr>
      <w:sz w:val="18"/>
      <w:szCs w:val="18"/>
    </w:rPr>
  </w:style>
  <w:style w:type="paragraph" w:styleId="7">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100" w:beforeAutospacing="1" w:after="100" w:afterAutospacing="1"/>
      <w:jc w:val="left"/>
    </w:pPr>
    <w:rPr>
      <w:rFonts w:hAnsi="宋体" w:cs="宋体"/>
      <w:sz w:val="24"/>
    </w:rPr>
  </w:style>
  <w:style w:type="paragraph" w:styleId="9">
    <w:name w:val="Title"/>
    <w:basedOn w:val="1"/>
    <w:next w:val="1"/>
    <w:link w:val="32"/>
    <w:qFormat/>
    <w:uiPriority w:val="0"/>
    <w:pPr>
      <w:spacing w:before="240" w:after="60" w:line="240" w:lineRule="auto"/>
      <w:jc w:val="center"/>
      <w:outlineLvl w:val="0"/>
    </w:pPr>
    <w:rPr>
      <w:rFonts w:ascii="Cambria" w:hAnsi="Cambria"/>
      <w:b/>
      <w:bCs/>
      <w:kern w:val="0"/>
      <w:sz w:val="32"/>
      <w:szCs w:val="32"/>
      <w:lang w:val="zh-CN"/>
    </w:rPr>
  </w:style>
  <w:style w:type="paragraph" w:styleId="10">
    <w:name w:val="annotation subject"/>
    <w:basedOn w:val="3"/>
    <w:next w:val="3"/>
    <w:link w:val="24"/>
    <w:unhideWhenUsed/>
    <w:qFormat/>
    <w:uiPriority w:val="99"/>
    <w:pPr>
      <w:spacing w:line="240" w:lineRule="auto"/>
      <w:jc w:val="both"/>
    </w:pPr>
    <w:rPr>
      <w:b/>
      <w:bCs/>
      <w:sz w:val="20"/>
      <w:szCs w:val="20"/>
    </w:rPr>
  </w:style>
  <w:style w:type="table" w:styleId="12">
    <w:name w:val="Table Grid"/>
    <w:basedOn w:val="1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Emphasis"/>
    <w:basedOn w:val="13"/>
    <w:qFormat/>
    <w:uiPriority w:val="20"/>
    <w:rPr>
      <w:i/>
    </w:rPr>
  </w:style>
  <w:style w:type="character" w:styleId="15">
    <w:name w:val="annotation reference"/>
    <w:basedOn w:val="13"/>
    <w:unhideWhenUsed/>
    <w:qFormat/>
    <w:uiPriority w:val="99"/>
    <w:rPr>
      <w:sz w:val="16"/>
      <w:szCs w:val="16"/>
    </w:rPr>
  </w:style>
  <w:style w:type="paragraph" w:customStyle="1" w:styleId="16">
    <w:name w:val="条款正文"/>
    <w:basedOn w:val="1"/>
    <w:qFormat/>
    <w:uiPriority w:val="0"/>
    <w:pPr>
      <w:adjustRightInd w:val="0"/>
      <w:snapToGrid w:val="0"/>
      <w:ind w:left="840" w:leftChars="400" w:firstLine="420" w:firstLineChars="200"/>
    </w:pPr>
    <w:rPr>
      <w:rFonts w:ascii="Times New Roman" w:hAnsi="Times New Roman"/>
      <w:szCs w:val="24"/>
    </w:rPr>
  </w:style>
  <w:style w:type="paragraph" w:customStyle="1" w:styleId="17">
    <w:name w:val="条款标题"/>
    <w:basedOn w:val="16"/>
    <w:qFormat/>
    <w:uiPriority w:val="0"/>
  </w:style>
  <w:style w:type="character" w:customStyle="1" w:styleId="18">
    <w:name w:val="页脚 字符"/>
    <w:basedOn w:val="13"/>
    <w:link w:val="6"/>
    <w:qFormat/>
    <w:uiPriority w:val="99"/>
    <w:rPr>
      <w:rFonts w:ascii="Calibri" w:hAnsi="Calibri" w:eastAsia="宋体" w:cs="Times New Roman"/>
      <w:sz w:val="18"/>
      <w:szCs w:val="18"/>
    </w:rPr>
  </w:style>
  <w:style w:type="character" w:customStyle="1" w:styleId="19">
    <w:name w:val="apple-style-span"/>
    <w:basedOn w:val="13"/>
    <w:qFormat/>
    <w:uiPriority w:val="0"/>
  </w:style>
  <w:style w:type="paragraph" w:customStyle="1" w:styleId="20">
    <w:name w:val="Default"/>
    <w:qFormat/>
    <w:uiPriority w:val="0"/>
    <w:pPr>
      <w:widowControl w:val="0"/>
      <w:autoSpaceDE w:val="0"/>
      <w:autoSpaceDN w:val="0"/>
      <w:adjustRightInd w:val="0"/>
      <w:spacing w:after="160" w:line="259" w:lineRule="auto"/>
    </w:pPr>
    <w:rPr>
      <w:rFonts w:ascii="宋体" w:hAnsi="宋体" w:eastAsia="宋体" w:cs="宋体"/>
      <w:color w:val="000000"/>
      <w:sz w:val="24"/>
      <w:szCs w:val="24"/>
      <w:lang w:val="en-US" w:eastAsia="zh-CN" w:bidi="ar-SA"/>
    </w:rPr>
  </w:style>
  <w:style w:type="character" w:customStyle="1" w:styleId="21">
    <w:name w:val="页眉 字符"/>
    <w:basedOn w:val="13"/>
    <w:link w:val="7"/>
    <w:qFormat/>
    <w:uiPriority w:val="99"/>
    <w:rPr>
      <w:rFonts w:ascii="Calibri" w:hAnsi="Calibri" w:eastAsia="宋体" w:cs="Times New Roman"/>
      <w:sz w:val="18"/>
      <w:szCs w:val="18"/>
    </w:rPr>
  </w:style>
  <w:style w:type="character" w:customStyle="1" w:styleId="22">
    <w:name w:val="批注框文本 字符"/>
    <w:basedOn w:val="13"/>
    <w:link w:val="5"/>
    <w:semiHidden/>
    <w:qFormat/>
    <w:uiPriority w:val="99"/>
    <w:rPr>
      <w:rFonts w:ascii="Calibri" w:hAnsi="Calibri" w:eastAsia="宋体" w:cs="Times New Roman"/>
      <w:sz w:val="18"/>
      <w:szCs w:val="18"/>
    </w:rPr>
  </w:style>
  <w:style w:type="character" w:customStyle="1" w:styleId="23">
    <w:name w:val="批注文字 字符"/>
    <w:basedOn w:val="13"/>
    <w:link w:val="3"/>
    <w:qFormat/>
    <w:uiPriority w:val="99"/>
    <w:rPr>
      <w:rFonts w:ascii="Calibri" w:hAnsi="Calibri" w:eastAsia="宋体" w:cs="Times New Roman"/>
      <w:kern w:val="2"/>
      <w:sz w:val="21"/>
      <w:szCs w:val="22"/>
    </w:rPr>
  </w:style>
  <w:style w:type="character" w:customStyle="1" w:styleId="24">
    <w:name w:val="批注主题 字符"/>
    <w:basedOn w:val="23"/>
    <w:link w:val="10"/>
    <w:semiHidden/>
    <w:qFormat/>
    <w:uiPriority w:val="99"/>
    <w:rPr>
      <w:rFonts w:ascii="Calibri" w:hAnsi="Calibri" w:eastAsia="宋体" w:cs="Times New Roman"/>
      <w:b/>
      <w:bCs/>
      <w:kern w:val="2"/>
      <w:sz w:val="21"/>
      <w:szCs w:val="22"/>
    </w:rPr>
  </w:style>
  <w:style w:type="paragraph" w:customStyle="1" w:styleId="25">
    <w:name w:val="_Style 2"/>
    <w:basedOn w:val="1"/>
    <w:qFormat/>
    <w:uiPriority w:val="34"/>
    <w:pPr>
      <w:ind w:firstLine="420" w:firstLineChars="200"/>
    </w:pPr>
  </w:style>
  <w:style w:type="paragraph" w:customStyle="1" w:styleId="26">
    <w:name w:val="列出段落1"/>
    <w:basedOn w:val="1"/>
    <w:qFormat/>
    <w:uiPriority w:val="34"/>
    <w:pPr>
      <w:ind w:firstLine="420" w:firstLineChars="200"/>
    </w:pPr>
  </w:style>
  <w:style w:type="paragraph" w:customStyle="1" w:styleId="27">
    <w:name w:val="List Paragraph2"/>
    <w:basedOn w:val="1"/>
    <w:qFormat/>
    <w:uiPriority w:val="99"/>
    <w:pPr>
      <w:spacing w:after="200" w:line="276" w:lineRule="auto"/>
      <w:ind w:firstLine="420" w:firstLineChars="200"/>
    </w:pPr>
  </w:style>
  <w:style w:type="paragraph" w:customStyle="1" w:styleId="28">
    <w:name w:val="列出段落2"/>
    <w:basedOn w:val="1"/>
    <w:qFormat/>
    <w:uiPriority w:val="34"/>
    <w:pPr>
      <w:spacing w:after="0" w:line="240" w:lineRule="auto"/>
      <w:ind w:firstLine="420" w:firstLineChars="200"/>
    </w:pPr>
  </w:style>
  <w:style w:type="paragraph" w:customStyle="1" w:styleId="29">
    <w:name w:val="列表段落1"/>
    <w:basedOn w:val="1"/>
    <w:qFormat/>
    <w:uiPriority w:val="34"/>
    <w:pPr>
      <w:widowControl/>
      <w:spacing w:after="0" w:line="240" w:lineRule="auto"/>
      <w:ind w:left="720"/>
      <w:jc w:val="left"/>
    </w:pPr>
    <w:rPr>
      <w:rFonts w:ascii="宋体" w:hAnsi="宋体" w:cs="宋体"/>
      <w:kern w:val="0"/>
      <w:sz w:val="24"/>
      <w:szCs w:val="24"/>
    </w:rPr>
  </w:style>
  <w:style w:type="paragraph" w:customStyle="1" w:styleId="30">
    <w:name w:val="_Style 1"/>
    <w:basedOn w:val="1"/>
    <w:qFormat/>
    <w:uiPriority w:val="34"/>
    <w:pPr>
      <w:widowControl/>
      <w:spacing w:after="0" w:line="240" w:lineRule="auto"/>
      <w:ind w:firstLine="420"/>
    </w:pPr>
    <w:rPr>
      <w:rFonts w:cs="Calibri"/>
      <w:kern w:val="0"/>
      <w:szCs w:val="21"/>
    </w:rPr>
  </w:style>
  <w:style w:type="paragraph" w:customStyle="1" w:styleId="31">
    <w:name w:val="列表段落2"/>
    <w:basedOn w:val="1"/>
    <w:qFormat/>
    <w:uiPriority w:val="99"/>
    <w:pPr>
      <w:ind w:firstLine="420" w:firstLineChars="200"/>
    </w:pPr>
  </w:style>
  <w:style w:type="character" w:customStyle="1" w:styleId="32">
    <w:name w:val="标题 字符"/>
    <w:basedOn w:val="13"/>
    <w:link w:val="9"/>
    <w:qFormat/>
    <w:uiPriority w:val="0"/>
    <w:rPr>
      <w:rFonts w:ascii="Cambria" w:hAnsi="Cambria"/>
      <w:b/>
      <w:bCs/>
      <w:sz w:val="32"/>
      <w:szCs w:val="32"/>
      <w:lang w:val="zh-CN" w:eastAsia="zh-CN"/>
    </w:rPr>
  </w:style>
  <w:style w:type="paragraph" w:customStyle="1" w:styleId="33">
    <w:name w:val="列出段落3"/>
    <w:basedOn w:val="1"/>
    <w:qFormat/>
    <w:uiPriority w:val="1"/>
    <w:pPr>
      <w:spacing w:before="240"/>
      <w:ind w:left="229" w:hanging="753"/>
    </w:pPr>
    <w:rPr>
      <w:rFonts w:ascii="仿宋" w:hAnsi="仿宋" w:eastAsia="仿宋" w:cs="仿宋"/>
    </w:rPr>
  </w:style>
  <w:style w:type="paragraph" w:customStyle="1" w:styleId="34">
    <w:name w:val="列表段落3"/>
    <w:basedOn w:val="1"/>
    <w:qFormat/>
    <w:uiPriority w:val="99"/>
    <w:pPr>
      <w:ind w:firstLine="420" w:firstLineChars="200"/>
    </w:pPr>
  </w:style>
  <w:style w:type="paragraph" w:customStyle="1" w:styleId="35">
    <w:name w:val="修订1"/>
    <w:hidden/>
    <w:semiHidden/>
    <w:qFormat/>
    <w:uiPriority w:val="99"/>
    <w:rPr>
      <w:rFonts w:ascii="Calibri" w:hAnsi="Calibri" w:eastAsia="宋体" w:cs="Times New Roman"/>
      <w:kern w:val="2"/>
      <w:sz w:val="21"/>
      <w:szCs w:val="22"/>
      <w:lang w:val="en-US" w:eastAsia="zh-CN" w:bidi="ar-SA"/>
    </w:rPr>
  </w:style>
  <w:style w:type="paragraph" w:customStyle="1" w:styleId="36">
    <w:name w:val="修订2"/>
    <w:hidden/>
    <w:semiHidden/>
    <w:qFormat/>
    <w:uiPriority w:val="99"/>
    <w:rPr>
      <w:rFonts w:ascii="Calibri" w:hAnsi="Calibri" w:eastAsia="宋体" w:cs="Times New Roman"/>
      <w:kern w:val="2"/>
      <w:sz w:val="21"/>
      <w:szCs w:val="22"/>
      <w:lang w:val="en-US" w:eastAsia="zh-CN" w:bidi="ar-SA"/>
    </w:rPr>
  </w:style>
  <w:style w:type="paragraph" w:customStyle="1" w:styleId="37">
    <w:name w:val="列表段落31"/>
    <w:basedOn w:val="1"/>
    <w:qFormat/>
    <w:uiPriority w:val="99"/>
    <w:pPr>
      <w:ind w:firstLine="420" w:firstLineChars="200"/>
    </w:pPr>
  </w:style>
  <w:style w:type="paragraph" w:customStyle="1" w:styleId="38">
    <w:name w:val="修订21"/>
    <w:hidden/>
    <w:semiHidden/>
    <w:qFormat/>
    <w:uiPriority w:val="99"/>
    <w:rPr>
      <w:rFonts w:ascii="Calibri" w:hAnsi="Calibri" w:eastAsia="宋体" w:cs="Times New Roman"/>
      <w:kern w:val="2"/>
      <w:sz w:val="21"/>
      <w:szCs w:val="22"/>
      <w:lang w:val="en-US" w:eastAsia="zh-CN" w:bidi="ar-SA"/>
    </w:rPr>
  </w:style>
  <w:style w:type="paragraph" w:customStyle="1" w:styleId="39">
    <w:name w:val="修订3"/>
    <w:hidden/>
    <w:semiHidden/>
    <w:qFormat/>
    <w:uiPriority w:val="99"/>
    <w:rPr>
      <w:rFonts w:ascii="Calibri" w:hAnsi="Calibri" w:eastAsia="宋体" w:cs="Times New Roman"/>
      <w:kern w:val="2"/>
      <w:sz w:val="21"/>
      <w:szCs w:val="22"/>
      <w:lang w:val="en-US" w:eastAsia="zh-CN" w:bidi="ar-SA"/>
    </w:rPr>
  </w:style>
  <w:style w:type="paragraph" w:customStyle="1" w:styleId="40">
    <w:name w:val="修订4"/>
    <w:hidden/>
    <w:semiHidden/>
    <w:qFormat/>
    <w:uiPriority w:val="99"/>
    <w:rPr>
      <w:rFonts w:ascii="Calibri" w:hAnsi="Calibri" w:eastAsia="宋体" w:cs="Times New Roman"/>
      <w:kern w:val="2"/>
      <w:sz w:val="21"/>
      <w:szCs w:val="22"/>
      <w:lang w:val="en-US" w:eastAsia="zh-CN" w:bidi="ar-SA"/>
    </w:rPr>
  </w:style>
  <w:style w:type="paragraph" w:customStyle="1" w:styleId="41">
    <w:name w:val="修订5"/>
    <w:hidden/>
    <w:semiHidden/>
    <w:qFormat/>
    <w:uiPriority w:val="99"/>
    <w:rPr>
      <w:rFonts w:ascii="Calibri" w:hAnsi="Calibri" w:eastAsia="宋体" w:cs="Times New Roman"/>
      <w:kern w:val="2"/>
      <w:sz w:val="21"/>
      <w:szCs w:val="22"/>
      <w:lang w:val="en-US" w:eastAsia="zh-CN" w:bidi="ar-SA"/>
    </w:rPr>
  </w:style>
  <w:style w:type="paragraph" w:customStyle="1" w:styleId="42">
    <w:name w:val="修订6"/>
    <w:hidden/>
    <w:semiHidden/>
    <w:qFormat/>
    <w:uiPriority w:val="99"/>
    <w:rPr>
      <w:rFonts w:ascii="Calibri" w:hAnsi="Calibri" w:eastAsia="宋体" w:cs="Times New Roman"/>
      <w:kern w:val="2"/>
      <w:sz w:val="21"/>
      <w:szCs w:val="22"/>
      <w:lang w:val="en-US" w:eastAsia="zh-CN" w:bidi="ar-SA"/>
    </w:rPr>
  </w:style>
  <w:style w:type="paragraph" w:customStyle="1" w:styleId="43">
    <w:name w:val="修订7"/>
    <w:hidden/>
    <w:semiHidden/>
    <w:uiPriority w:val="99"/>
    <w:rPr>
      <w:rFonts w:ascii="Calibri" w:hAnsi="Calibri" w:eastAsia="宋体" w:cs="Times New Roman"/>
      <w:kern w:val="2"/>
      <w:sz w:val="21"/>
      <w:szCs w:val="22"/>
      <w:lang w:val="en-US" w:eastAsia="zh-CN" w:bidi="ar-SA"/>
    </w:rPr>
  </w:style>
  <w:style w:type="paragraph" w:styleId="44">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17B942A-831A-48F6-88B3-FADB04DB7F7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2094</Words>
  <Characters>2103</Characters>
  <Lines>15</Lines>
  <Paragraphs>4</Paragraphs>
  <TotalTime>14</TotalTime>
  <ScaleCrop>false</ScaleCrop>
  <LinksUpToDate>false</LinksUpToDate>
  <CharactersWithSpaces>2119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2021-07-05T09:26:00Z</dcterms:created>
  <dc:creator>zhangll01</dc:creator>
  <cp:lastModifiedBy>Zixuan Shen</cp:lastModifiedBy>
  <cp:lastPrinted>2020-02-27T15:53:00Z</cp:lastPrinted>
  <dcterms:modified xsi:type="dcterms:W3CDTF">2023-03-03T09:24:41Z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CA74D83B4CEE44A38E41B8F7EF52939B</vt:lpwstr>
  </property>
</Properties>
</file>