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84F5B">
      <w:pPr>
        <w:jc w:val="center"/>
        <w:rPr>
          <w:rFonts w:ascii="宋体" w:hAnsi="宋体" w:eastAsia="宋体" w:cs="宋体"/>
          <w:b/>
          <w:bCs/>
          <w:sz w:val="28"/>
          <w:szCs w:val="28"/>
        </w:rPr>
      </w:pPr>
      <w:r>
        <w:rPr>
          <w:rFonts w:hint="eastAsia" w:ascii="宋体" w:hAnsi="宋体" w:eastAsia="宋体" w:cs="宋体"/>
          <w:b/>
          <w:bCs/>
          <w:sz w:val="28"/>
          <w:szCs w:val="28"/>
        </w:rPr>
        <w:t>华农财产保险股份有限公司</w:t>
      </w:r>
    </w:p>
    <w:p w14:paraId="2F10B73A">
      <w:pPr>
        <w:jc w:val="center"/>
        <w:rPr>
          <w:rFonts w:ascii="宋体" w:hAnsi="宋体" w:eastAsia="宋体" w:cs="宋体"/>
          <w:b/>
          <w:bCs/>
          <w:szCs w:val="21"/>
        </w:rPr>
      </w:pPr>
      <w:r>
        <w:rPr>
          <w:rFonts w:hint="eastAsia" w:ascii="宋体" w:hAnsi="宋体" w:eastAsia="宋体" w:cs="宋体"/>
          <w:b/>
          <w:bCs/>
          <w:sz w:val="28"/>
          <w:szCs w:val="28"/>
        </w:rPr>
        <w:t>附加食物中毒医疗保险费率表</w:t>
      </w:r>
    </w:p>
    <w:p w14:paraId="78394529">
      <w:pPr>
        <w:widowControl/>
        <w:spacing w:after="156"/>
        <w:rPr>
          <w:rFonts w:ascii="宋体" w:hAnsi="宋体" w:eastAsia="宋体" w:cs="宋体"/>
          <w:b/>
          <w:szCs w:val="21"/>
        </w:rPr>
      </w:pPr>
    </w:p>
    <w:p w14:paraId="741CE6EC">
      <w:pPr>
        <w:widowControl/>
        <w:numPr>
          <w:ilvl w:val="0"/>
          <w:numId w:val="1"/>
        </w:numPr>
        <w:spacing w:after="156"/>
        <w:rPr>
          <w:rFonts w:hint="eastAsia" w:ascii="宋体" w:hAnsi="宋体" w:eastAsia="宋体" w:cs="宋体"/>
          <w:b/>
          <w:szCs w:val="21"/>
        </w:rPr>
      </w:pPr>
      <w:r>
        <w:rPr>
          <w:rFonts w:hint="eastAsia" w:ascii="宋体" w:hAnsi="宋体" w:eastAsia="宋体" w:cs="宋体"/>
          <w:b/>
          <w:szCs w:val="21"/>
        </w:rPr>
        <w:t>基准费率</w:t>
      </w:r>
    </w:p>
    <w:p w14:paraId="4F0A066F">
      <w:pPr>
        <w:widowControl/>
        <w:numPr>
          <w:numId w:val="0"/>
        </w:numPr>
        <w:spacing w:after="156"/>
        <w:jc w:val="right"/>
        <w:rPr>
          <w:rFonts w:hint="default" w:ascii="宋体" w:hAnsi="宋体" w:eastAsia="宋体" w:cs="宋体"/>
          <w:b w:val="0"/>
          <w:bCs/>
          <w:sz w:val="18"/>
          <w:szCs w:val="18"/>
          <w:lang w:val="en-US" w:eastAsia="zh-CN"/>
        </w:rPr>
      </w:pPr>
      <w:r>
        <w:rPr>
          <w:rFonts w:hint="eastAsia" w:ascii="宋体" w:hAnsi="宋体" w:eastAsia="宋体" w:cs="宋体"/>
          <w:b w:val="0"/>
          <w:bCs/>
          <w:sz w:val="18"/>
          <w:szCs w:val="18"/>
          <w:lang w:val="en-US" w:eastAsia="zh-CN"/>
        </w:rPr>
        <w:t>单位：元</w:t>
      </w:r>
    </w:p>
    <w:p w14:paraId="1481622D">
      <w:pPr>
        <w:widowControl/>
        <w:numPr>
          <w:ilvl w:val="255"/>
          <w:numId w:val="0"/>
        </w:numPr>
        <w:spacing w:after="156"/>
        <w:rPr>
          <w:rFonts w:hint="default" w:ascii="宋体" w:hAnsi="宋体" w:eastAsia="宋体" w:cs="宋体"/>
          <w:b w:val="0"/>
          <w:bCs/>
          <w:szCs w:val="21"/>
          <w:lang w:val="en-US" w:eastAsia="zh-CN"/>
        </w:rPr>
      </w:pPr>
      <w:r>
        <w:rPr>
          <w:rFonts w:hint="eastAsia" w:ascii="宋体" w:hAnsi="宋体" w:eastAsia="宋体" w:cs="宋体"/>
          <w:b/>
          <w:bCs w:val="0"/>
          <w:szCs w:val="21"/>
          <w:lang w:val="en-US" w:eastAsia="zh-CN"/>
        </w:rPr>
        <w:t>（一）基准每次事故免赔额：</w:t>
      </w:r>
      <w:r>
        <w:rPr>
          <w:rFonts w:hint="eastAsia" w:ascii="宋体" w:hAnsi="宋体" w:eastAsia="宋体" w:cs="宋体"/>
          <w:b w:val="0"/>
          <w:bCs/>
          <w:szCs w:val="21"/>
          <w:lang w:val="en-US" w:eastAsia="zh-CN"/>
        </w:rPr>
        <w:t>50元</w:t>
      </w:r>
    </w:p>
    <w:p w14:paraId="5F78E738">
      <w:pPr>
        <w:widowControl/>
        <w:numPr>
          <w:ilvl w:val="255"/>
          <w:numId w:val="0"/>
        </w:numPr>
        <w:spacing w:after="156"/>
        <w:rPr>
          <w:rFonts w:hint="eastAsia" w:ascii="宋体" w:hAnsi="宋体" w:eastAsia="宋体" w:cs="宋体"/>
          <w:bCs/>
          <w:szCs w:val="21"/>
          <w:lang w:val="en-US" w:eastAsia="zh-CN"/>
        </w:rPr>
      </w:pPr>
      <w:r>
        <w:rPr>
          <w:rFonts w:hint="eastAsia" w:ascii="宋体" w:hAnsi="宋体" w:eastAsia="宋体" w:cs="宋体"/>
          <w:b/>
          <w:bCs w:val="0"/>
          <w:szCs w:val="21"/>
          <w:lang w:val="en-US" w:eastAsia="zh-CN"/>
        </w:rPr>
        <w:t>（二）基准赔付比例</w:t>
      </w:r>
      <w:r>
        <w:rPr>
          <w:rFonts w:hint="eastAsia" w:ascii="宋体" w:hAnsi="宋体" w:eastAsia="宋体" w:cs="宋体"/>
          <w:bCs/>
          <w:szCs w:val="21"/>
          <w:lang w:val="en-US" w:eastAsia="zh-CN"/>
        </w:rPr>
        <w:t>：</w:t>
      </w:r>
    </w:p>
    <w:p w14:paraId="2078AC7A">
      <w:pPr>
        <w:widowControl/>
        <w:numPr>
          <w:ilvl w:val="255"/>
          <w:numId w:val="0"/>
        </w:numPr>
        <w:spacing w:after="156"/>
        <w:rPr>
          <w:rFonts w:hint="eastAsia" w:ascii="宋体" w:hAnsi="宋体" w:cs="宋体"/>
          <w:color w:val="000000"/>
          <w:kern w:val="0"/>
          <w:lang w:val="en-US" w:eastAsia="zh-CN" w:bidi="ar"/>
        </w:rPr>
      </w:pPr>
      <w:r>
        <w:rPr>
          <w:rFonts w:hint="eastAsia" w:ascii="宋体" w:hAnsi="宋体" w:eastAsia="宋体" w:cs="宋体"/>
          <w:bCs/>
          <w:szCs w:val="21"/>
          <w:lang w:val="en-US" w:eastAsia="zh-CN"/>
        </w:rPr>
        <w:t>1、被保险人</w:t>
      </w:r>
      <w:r>
        <w:rPr>
          <w:rFonts w:hint="eastAsia" w:ascii="宋体" w:hAnsi="宋体" w:cs="宋体"/>
          <w:color w:val="000000"/>
          <w:kern w:val="0"/>
          <w:lang w:bidi="ar"/>
        </w:rPr>
        <w:t>以参加社会基本医疗保险或者公费医疗身份投保，并以参加社会基本医疗保险或者公费医疗身份就诊并结算</w:t>
      </w:r>
      <w:r>
        <w:rPr>
          <w:rFonts w:hint="eastAsia" w:ascii="宋体" w:hAnsi="宋体" w:cs="宋体"/>
          <w:color w:val="000000"/>
          <w:kern w:val="0"/>
          <w:lang w:val="en-US" w:eastAsia="zh-CN" w:bidi="ar"/>
        </w:rPr>
        <w:t>的</w:t>
      </w:r>
      <w:r>
        <w:rPr>
          <w:rFonts w:hint="eastAsia" w:ascii="宋体" w:hAnsi="宋体" w:cs="宋体"/>
          <w:color w:val="000000"/>
          <w:kern w:val="0"/>
          <w:lang w:eastAsia="zh-CN" w:bidi="ar"/>
        </w:rPr>
        <w:t>赔付比例</w:t>
      </w:r>
      <w:r>
        <w:rPr>
          <w:rFonts w:hint="eastAsia" w:ascii="宋体" w:hAnsi="宋体" w:cs="宋体"/>
          <w:color w:val="000000"/>
          <w:kern w:val="0"/>
          <w:lang w:val="en-US" w:eastAsia="zh-CN" w:bidi="ar"/>
        </w:rPr>
        <w:t>为90%；</w:t>
      </w:r>
    </w:p>
    <w:p w14:paraId="435AE2B2">
      <w:pPr>
        <w:widowControl/>
        <w:numPr>
          <w:ilvl w:val="255"/>
          <w:numId w:val="0"/>
        </w:numPr>
        <w:spacing w:after="156"/>
        <w:rPr>
          <w:rFonts w:hint="eastAsia" w:ascii="宋体" w:hAnsi="宋体" w:cs="宋体"/>
          <w:color w:val="000000"/>
          <w:kern w:val="0"/>
          <w:lang w:val="en-US" w:eastAsia="zh-CN" w:bidi="ar"/>
        </w:rPr>
      </w:pPr>
      <w:r>
        <w:rPr>
          <w:rFonts w:hint="eastAsia" w:ascii="宋体" w:hAnsi="宋体" w:cs="宋体"/>
          <w:color w:val="000000"/>
          <w:kern w:val="0"/>
          <w:lang w:val="en-US" w:eastAsia="zh-CN" w:bidi="ar"/>
        </w:rPr>
        <w:t>2、被保险人</w:t>
      </w:r>
      <w:r>
        <w:rPr>
          <w:rFonts w:hint="eastAsia" w:ascii="宋体" w:hAnsi="宋体" w:cs="宋体"/>
          <w:color w:val="000000"/>
          <w:kern w:val="0"/>
          <w:lang w:bidi="ar"/>
        </w:rPr>
        <w:t>以参加社会基本医疗保险或者公费医疗身份投保，但未以参加社会基本医疗保险或者公费医疗身份就诊并结算</w:t>
      </w:r>
      <w:r>
        <w:rPr>
          <w:rFonts w:hint="eastAsia" w:ascii="宋体" w:hAnsi="宋体" w:cs="宋体"/>
          <w:color w:val="000000"/>
          <w:kern w:val="0"/>
          <w:lang w:val="en-US" w:eastAsia="zh-CN" w:bidi="ar"/>
        </w:rPr>
        <w:t>的</w:t>
      </w:r>
      <w:r>
        <w:rPr>
          <w:rFonts w:hint="eastAsia" w:ascii="宋体" w:hAnsi="宋体" w:cs="宋体"/>
          <w:color w:val="000000"/>
          <w:kern w:val="0"/>
          <w:lang w:eastAsia="zh-CN" w:bidi="ar"/>
        </w:rPr>
        <w:t>赔付比例</w:t>
      </w:r>
      <w:r>
        <w:rPr>
          <w:rFonts w:hint="eastAsia" w:ascii="宋体" w:hAnsi="宋体" w:cs="宋体"/>
          <w:color w:val="000000"/>
          <w:kern w:val="0"/>
          <w:lang w:val="en-US" w:eastAsia="zh-CN" w:bidi="ar"/>
        </w:rPr>
        <w:t>为54%；</w:t>
      </w:r>
    </w:p>
    <w:p w14:paraId="3C52E33D">
      <w:pPr>
        <w:widowControl/>
        <w:numPr>
          <w:ilvl w:val="255"/>
          <w:numId w:val="0"/>
        </w:numPr>
        <w:spacing w:after="156"/>
        <w:rPr>
          <w:rFonts w:hint="default" w:ascii="宋体" w:hAnsi="宋体" w:cs="宋体" w:eastAsiaTheme="minorEastAsia"/>
          <w:bCs/>
          <w:szCs w:val="21"/>
          <w:lang w:val="en-US" w:eastAsia="zh-CN"/>
        </w:rPr>
      </w:pPr>
      <w:r>
        <w:rPr>
          <w:rFonts w:hint="eastAsia" w:ascii="宋体" w:hAnsi="宋体" w:cs="宋体"/>
          <w:color w:val="000000"/>
          <w:kern w:val="0"/>
          <w:lang w:val="en-US" w:eastAsia="zh-CN" w:bidi="ar"/>
        </w:rPr>
        <w:t>3、被保险人</w:t>
      </w:r>
      <w:r>
        <w:rPr>
          <w:rFonts w:hint="eastAsia" w:ascii="宋体" w:hAnsi="宋体" w:cs="宋体"/>
          <w:color w:val="000000"/>
          <w:kern w:val="0"/>
          <w:lang w:bidi="ar"/>
        </w:rPr>
        <w:t>未参加社会基本医疗保险或公费医疗身份投保</w:t>
      </w:r>
      <w:r>
        <w:rPr>
          <w:rFonts w:hint="eastAsia" w:ascii="宋体" w:hAnsi="宋体" w:cs="宋体"/>
          <w:color w:val="000000"/>
          <w:kern w:val="0"/>
          <w:lang w:val="en-US" w:eastAsia="zh-CN" w:bidi="ar"/>
        </w:rPr>
        <w:t>的</w:t>
      </w:r>
      <w:r>
        <w:rPr>
          <w:rFonts w:hint="eastAsia" w:ascii="宋体" w:hAnsi="宋体" w:cs="宋体"/>
          <w:color w:val="000000"/>
          <w:kern w:val="0"/>
          <w:lang w:eastAsia="zh-CN" w:bidi="ar"/>
        </w:rPr>
        <w:t>赔付比例</w:t>
      </w:r>
      <w:r>
        <w:rPr>
          <w:rFonts w:hint="eastAsia" w:ascii="宋体" w:hAnsi="宋体" w:cs="宋体"/>
          <w:color w:val="000000"/>
          <w:kern w:val="0"/>
          <w:lang w:val="en-US" w:eastAsia="zh-CN" w:bidi="ar"/>
        </w:rPr>
        <w:t>为90%</w:t>
      </w:r>
    </w:p>
    <w:p w14:paraId="75D57E7A">
      <w:pPr>
        <w:widowControl/>
        <w:numPr>
          <w:ilvl w:val="255"/>
          <w:numId w:val="0"/>
        </w:numPr>
        <w:spacing w:after="156"/>
        <w:rPr>
          <w:rFonts w:hint="eastAsia" w:ascii="宋体" w:hAnsi="宋体" w:eastAsia="宋体" w:cs="宋体"/>
          <w:b/>
          <w:bCs w:val="0"/>
          <w:szCs w:val="21"/>
          <w:lang w:val="en-US" w:eastAsia="zh-CN"/>
        </w:rPr>
      </w:pPr>
      <w:r>
        <w:rPr>
          <w:rFonts w:hint="eastAsia" w:ascii="宋体" w:hAnsi="宋体" w:eastAsia="宋体" w:cs="宋体"/>
          <w:b/>
          <w:bCs w:val="0"/>
          <w:szCs w:val="21"/>
          <w:lang w:eastAsia="zh-CN"/>
        </w:rPr>
        <w:t>（</w:t>
      </w:r>
      <w:r>
        <w:rPr>
          <w:rFonts w:hint="eastAsia" w:ascii="宋体" w:hAnsi="宋体" w:eastAsia="宋体" w:cs="宋体"/>
          <w:b/>
          <w:bCs w:val="0"/>
          <w:szCs w:val="21"/>
          <w:lang w:val="en-US" w:eastAsia="zh-CN"/>
        </w:rPr>
        <w:t>三</w:t>
      </w:r>
      <w:r>
        <w:rPr>
          <w:rFonts w:hint="eastAsia" w:ascii="宋体" w:hAnsi="宋体" w:eastAsia="宋体" w:cs="宋体"/>
          <w:b/>
          <w:bCs w:val="0"/>
          <w:szCs w:val="21"/>
          <w:lang w:eastAsia="zh-CN"/>
        </w:rPr>
        <w:t>）</w:t>
      </w:r>
      <w:r>
        <w:rPr>
          <w:rFonts w:hint="eastAsia" w:ascii="宋体" w:hAnsi="宋体" w:eastAsia="宋体" w:cs="宋体"/>
          <w:b/>
          <w:bCs w:val="0"/>
          <w:szCs w:val="21"/>
          <w:lang w:val="en-US" w:eastAsia="zh-CN"/>
        </w:rPr>
        <w:t>基准费率：</w:t>
      </w:r>
    </w:p>
    <w:p w14:paraId="64BB4E6D">
      <w:pPr>
        <w:widowControl/>
        <w:numPr>
          <w:ilvl w:val="255"/>
          <w:numId w:val="0"/>
        </w:numPr>
        <w:spacing w:after="156"/>
        <w:rPr>
          <w:rFonts w:hint="default" w:ascii="宋体" w:hAnsi="宋体" w:eastAsia="宋体" w:cs="宋体"/>
          <w:bCs/>
          <w:szCs w:val="21"/>
          <w:lang w:val="en-US" w:eastAsia="zh-CN"/>
        </w:rPr>
      </w:pPr>
      <w:r>
        <w:rPr>
          <w:rFonts w:hint="eastAsia" w:ascii="宋体" w:hAnsi="宋体" w:eastAsia="宋体" w:cs="宋体"/>
          <w:bCs/>
          <w:szCs w:val="21"/>
          <w:lang w:val="en-US" w:eastAsia="zh-CN"/>
        </w:rPr>
        <w:t>1、被保险人</w:t>
      </w:r>
      <w:r>
        <w:rPr>
          <w:rFonts w:hint="eastAsia" w:ascii="宋体" w:hAnsi="宋体" w:cs="宋体"/>
          <w:color w:val="000000"/>
          <w:kern w:val="0"/>
          <w:lang w:bidi="ar"/>
        </w:rPr>
        <w:t>以参加社会基本医疗保险或者公费医疗身份投</w:t>
      </w:r>
      <w:r>
        <w:rPr>
          <w:rFonts w:hint="eastAsia" w:ascii="宋体" w:hAnsi="宋体" w:eastAsia="宋体" w:cs="宋体"/>
          <w:bCs/>
          <w:szCs w:val="21"/>
          <w:lang w:val="en-US" w:eastAsia="zh-CN"/>
        </w:rPr>
        <w:t>：0.014%</w:t>
      </w:r>
    </w:p>
    <w:p w14:paraId="725D6885">
      <w:pPr>
        <w:widowControl/>
        <w:numPr>
          <w:ilvl w:val="255"/>
          <w:numId w:val="0"/>
        </w:numPr>
        <w:spacing w:after="156"/>
        <w:rPr>
          <w:rFonts w:hint="eastAsia" w:ascii="宋体" w:hAnsi="宋体" w:eastAsia="宋体" w:cs="宋体"/>
          <w:bCs/>
          <w:szCs w:val="21"/>
        </w:rPr>
      </w:pPr>
      <w:r>
        <w:rPr>
          <w:rFonts w:hint="eastAsia" w:ascii="宋体" w:hAnsi="宋体" w:eastAsia="宋体" w:cs="宋体"/>
          <w:bCs/>
          <w:szCs w:val="21"/>
          <w:lang w:val="en-US" w:eastAsia="zh-CN"/>
        </w:rPr>
        <w:t>2、被保险人未</w:t>
      </w:r>
      <w:r>
        <w:rPr>
          <w:rFonts w:hint="eastAsia" w:ascii="宋体" w:hAnsi="宋体" w:cs="宋体"/>
          <w:color w:val="000000"/>
          <w:kern w:val="0"/>
          <w:lang w:bidi="ar"/>
        </w:rPr>
        <w:t>以参加社会基本医疗保险或者公费医疗身份投</w:t>
      </w:r>
      <w:r>
        <w:rPr>
          <w:rFonts w:hint="eastAsia" w:ascii="宋体" w:hAnsi="宋体" w:cs="宋体"/>
          <w:color w:val="000000"/>
          <w:kern w:val="0"/>
          <w:lang w:val="en-US" w:eastAsia="zh-CN" w:bidi="ar"/>
        </w:rPr>
        <w:t>保：</w:t>
      </w:r>
      <w:r>
        <w:rPr>
          <w:rFonts w:hint="eastAsia" w:ascii="宋体" w:hAnsi="宋体" w:eastAsia="宋体" w:cs="宋体"/>
          <w:bCs/>
          <w:szCs w:val="21"/>
        </w:rPr>
        <w:t>0.02</w:t>
      </w:r>
      <w:r>
        <w:rPr>
          <w:rFonts w:hint="eastAsia" w:ascii="宋体" w:hAnsi="宋体" w:eastAsia="宋体" w:cs="宋体"/>
          <w:bCs/>
          <w:szCs w:val="21"/>
          <w:lang w:val="en-US" w:eastAsia="zh-CN"/>
        </w:rPr>
        <w:t>0</w:t>
      </w:r>
      <w:r>
        <w:rPr>
          <w:rFonts w:hint="eastAsia" w:ascii="宋体" w:hAnsi="宋体" w:eastAsia="宋体" w:cs="宋体"/>
          <w:bCs/>
          <w:szCs w:val="21"/>
        </w:rPr>
        <w:t>%</w:t>
      </w:r>
    </w:p>
    <w:p w14:paraId="6B15B4F4">
      <w:pPr>
        <w:widowControl/>
        <w:numPr>
          <w:ilvl w:val="255"/>
          <w:numId w:val="0"/>
        </w:numPr>
        <w:spacing w:after="156"/>
        <w:rPr>
          <w:rFonts w:hint="eastAsia" w:ascii="宋体" w:hAnsi="宋体" w:eastAsia="宋体" w:cs="宋体"/>
          <w:bCs/>
          <w:szCs w:val="21"/>
        </w:rPr>
      </w:pPr>
    </w:p>
    <w:p w14:paraId="1C8B98F5">
      <w:pPr>
        <w:widowControl/>
        <w:spacing w:after="156"/>
        <w:rPr>
          <w:rFonts w:ascii="宋体" w:hAnsi="宋体" w:eastAsia="宋体" w:cs="宋体"/>
          <w:b/>
          <w:szCs w:val="21"/>
        </w:rPr>
      </w:pPr>
      <w:r>
        <w:rPr>
          <w:rFonts w:hint="eastAsia" w:ascii="宋体" w:hAnsi="宋体" w:eastAsia="宋体" w:cs="宋体"/>
          <w:b/>
          <w:szCs w:val="21"/>
        </w:rPr>
        <w:t>二、费率调整系数</w:t>
      </w:r>
    </w:p>
    <w:p w14:paraId="4C52C102">
      <w:pPr>
        <w:numPr>
          <w:ilvl w:val="255"/>
          <w:numId w:val="0"/>
        </w:numPr>
        <w:spacing w:line="312" w:lineRule="auto"/>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eastAsia="zh-CN"/>
        </w:rPr>
        <w:t>、</w:t>
      </w:r>
      <w:r>
        <w:rPr>
          <w:rFonts w:hint="eastAsia" w:ascii="宋体" w:hAnsi="宋体" w:eastAsia="宋体" w:cs="宋体"/>
          <w:szCs w:val="21"/>
          <w:lang w:val="en-US" w:eastAsia="zh-CN"/>
        </w:rPr>
        <w:t>每次事故</w:t>
      </w:r>
      <w:r>
        <w:rPr>
          <w:rFonts w:hint="eastAsia" w:ascii="宋体" w:hAnsi="宋体" w:eastAsia="宋体" w:cs="宋体"/>
          <w:szCs w:val="21"/>
        </w:rPr>
        <w:t>免赔额调整系数（F</w:t>
      </w:r>
      <w:r>
        <w:rPr>
          <w:rFonts w:hint="eastAsia" w:ascii="宋体" w:hAnsi="宋体" w:eastAsia="宋体" w:cs="宋体"/>
          <w:szCs w:val="21"/>
          <w:lang w:val="en-US" w:eastAsia="zh-CN"/>
        </w:rPr>
        <w:t>1</w:t>
      </w:r>
      <w:r>
        <w:rPr>
          <w:rFonts w:hint="eastAsia" w:ascii="宋体" w:hAnsi="宋体" w:eastAsia="宋体" w:cs="宋体"/>
          <w:szCs w:val="21"/>
        </w:rPr>
        <w:t>）</w:t>
      </w:r>
      <w:bookmarkStart w:id="0" w:name="_GoBack"/>
      <w:bookmarkEnd w:id="0"/>
    </w:p>
    <w:tbl>
      <w:tblPr>
        <w:tblStyle w:val="6"/>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2"/>
        <w:gridCol w:w="4279"/>
      </w:tblGrid>
      <w:tr w14:paraId="05B71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4792" w:type="dxa"/>
            <w:vAlign w:val="center"/>
          </w:tcPr>
          <w:p w14:paraId="6CD55341">
            <w:pPr>
              <w:widowControl/>
              <w:spacing w:line="312" w:lineRule="auto"/>
              <w:jc w:val="center"/>
              <w:rPr>
                <w:rFonts w:ascii="宋体" w:hAnsi="宋体" w:eastAsia="宋体" w:cs="宋体"/>
                <w:b/>
                <w:bCs/>
                <w:szCs w:val="21"/>
              </w:rPr>
            </w:pPr>
            <w:r>
              <w:rPr>
                <w:rFonts w:hint="eastAsia" w:ascii="宋体" w:hAnsi="宋体" w:eastAsia="宋体" w:cs="宋体"/>
                <w:b/>
                <w:bCs/>
                <w:szCs w:val="21"/>
                <w:lang w:val="en-US" w:eastAsia="zh-CN"/>
              </w:rPr>
              <w:t>每次事故</w:t>
            </w:r>
            <w:r>
              <w:rPr>
                <w:rFonts w:hint="eastAsia" w:ascii="宋体" w:hAnsi="宋体" w:eastAsia="宋体" w:cs="宋体"/>
                <w:b/>
                <w:bCs/>
                <w:szCs w:val="21"/>
              </w:rPr>
              <w:t>免赔额（元）</w:t>
            </w:r>
          </w:p>
        </w:tc>
        <w:tc>
          <w:tcPr>
            <w:tcW w:w="4279" w:type="dxa"/>
            <w:vAlign w:val="center"/>
          </w:tcPr>
          <w:p w14:paraId="542EC356">
            <w:pPr>
              <w:widowControl/>
              <w:spacing w:line="312" w:lineRule="auto"/>
              <w:jc w:val="center"/>
              <w:rPr>
                <w:rFonts w:ascii="宋体" w:hAnsi="宋体" w:eastAsia="宋体" w:cs="宋体"/>
                <w:b/>
                <w:bCs/>
                <w:szCs w:val="21"/>
              </w:rPr>
            </w:pPr>
            <w:r>
              <w:rPr>
                <w:rFonts w:hint="eastAsia" w:ascii="宋体" w:hAnsi="宋体" w:eastAsia="宋体" w:cs="宋体"/>
                <w:b/>
                <w:bCs/>
                <w:szCs w:val="21"/>
              </w:rPr>
              <w:t>调整系数</w:t>
            </w:r>
          </w:p>
        </w:tc>
      </w:tr>
      <w:tr w14:paraId="1863E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4792" w:type="dxa"/>
            <w:vAlign w:val="center"/>
          </w:tcPr>
          <w:p w14:paraId="03ABB89E">
            <w:pPr>
              <w:pStyle w:val="10"/>
              <w:numPr>
                <w:ilvl w:val="255"/>
                <w:numId w:val="0"/>
              </w:numPr>
              <w:jc w:val="center"/>
              <w:rPr>
                <w:rFonts w:ascii="宋体" w:cs="宋体"/>
                <w:szCs w:val="21"/>
              </w:rPr>
            </w:pPr>
            <w:r>
              <w:rPr>
                <w:rFonts w:hint="eastAsia" w:ascii="宋体" w:hAnsi="宋体" w:cs="宋体"/>
                <w:szCs w:val="21"/>
              </w:rPr>
              <w:t>&lt;50</w:t>
            </w:r>
          </w:p>
        </w:tc>
        <w:tc>
          <w:tcPr>
            <w:tcW w:w="4279" w:type="dxa"/>
            <w:vAlign w:val="center"/>
          </w:tcPr>
          <w:p w14:paraId="13E6B426">
            <w:pPr>
              <w:pStyle w:val="10"/>
              <w:numPr>
                <w:ilvl w:val="255"/>
                <w:numId w:val="0"/>
              </w:numPr>
              <w:jc w:val="center"/>
              <w:rPr>
                <w:rFonts w:ascii="宋体" w:cs="宋体"/>
                <w:szCs w:val="21"/>
              </w:rPr>
            </w:pPr>
            <w:r>
              <w:rPr>
                <w:rFonts w:hint="eastAsia" w:ascii="宋体" w:hAnsi="宋体" w:cs="宋体"/>
                <w:szCs w:val="21"/>
              </w:rPr>
              <w:t>(1.0</w:t>
            </w:r>
            <w:r>
              <w:rPr>
                <w:rFonts w:hint="eastAsia" w:ascii="宋体" w:hAnsi="宋体" w:cs="宋体"/>
                <w:szCs w:val="21"/>
                <w:lang w:val="en-US" w:eastAsia="zh-CN"/>
              </w:rPr>
              <w:t>0</w:t>
            </w:r>
            <w:r>
              <w:rPr>
                <w:rFonts w:hint="eastAsia" w:ascii="宋体" w:hAnsi="宋体" w:cs="宋体"/>
                <w:szCs w:val="21"/>
              </w:rPr>
              <w:t>,1.05]</w:t>
            </w:r>
          </w:p>
        </w:tc>
      </w:tr>
      <w:tr w14:paraId="3577E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4792" w:type="dxa"/>
            <w:vAlign w:val="center"/>
          </w:tcPr>
          <w:p w14:paraId="6E2CC853">
            <w:pPr>
              <w:pStyle w:val="10"/>
              <w:numPr>
                <w:ilvl w:val="255"/>
                <w:numId w:val="0"/>
              </w:numPr>
              <w:jc w:val="center"/>
              <w:rPr>
                <w:rFonts w:ascii="宋体" w:cs="宋体"/>
                <w:szCs w:val="21"/>
              </w:rPr>
            </w:pPr>
            <w:r>
              <w:rPr>
                <w:rFonts w:hint="eastAsia" w:ascii="宋体" w:hAnsi="宋体" w:cs="宋体"/>
                <w:szCs w:val="21"/>
              </w:rPr>
              <w:t>50（含）-100</w:t>
            </w:r>
          </w:p>
        </w:tc>
        <w:tc>
          <w:tcPr>
            <w:tcW w:w="4279" w:type="dxa"/>
            <w:vAlign w:val="center"/>
          </w:tcPr>
          <w:p w14:paraId="1A29FC8F">
            <w:pPr>
              <w:pStyle w:val="10"/>
              <w:numPr>
                <w:ilvl w:val="255"/>
                <w:numId w:val="0"/>
              </w:numPr>
              <w:jc w:val="center"/>
              <w:rPr>
                <w:rFonts w:ascii="宋体" w:cs="宋体"/>
                <w:szCs w:val="21"/>
              </w:rPr>
            </w:pPr>
            <w:r>
              <w:rPr>
                <w:rFonts w:ascii="宋体" w:cs="宋体"/>
                <w:szCs w:val="21"/>
              </w:rPr>
              <w:t>(0.</w:t>
            </w:r>
            <w:r>
              <w:rPr>
                <w:rFonts w:hint="eastAsia" w:ascii="宋体" w:cs="宋体"/>
                <w:szCs w:val="21"/>
              </w:rPr>
              <w:t>9</w:t>
            </w:r>
            <w:r>
              <w:rPr>
                <w:rFonts w:hint="eastAsia" w:ascii="宋体" w:cs="宋体"/>
                <w:szCs w:val="21"/>
                <w:lang w:val="en-US" w:eastAsia="zh-CN"/>
              </w:rPr>
              <w:t>0</w:t>
            </w:r>
            <w:r>
              <w:rPr>
                <w:rFonts w:ascii="宋体" w:cs="宋体"/>
                <w:szCs w:val="21"/>
              </w:rPr>
              <w:t>,</w:t>
            </w:r>
            <w:r>
              <w:rPr>
                <w:rFonts w:hint="eastAsia" w:ascii="宋体" w:cs="宋体"/>
                <w:szCs w:val="21"/>
              </w:rPr>
              <w:t>1.0</w:t>
            </w:r>
            <w:r>
              <w:rPr>
                <w:rFonts w:hint="eastAsia" w:ascii="宋体" w:cs="宋体"/>
                <w:szCs w:val="21"/>
                <w:lang w:val="en-US" w:eastAsia="zh-CN"/>
              </w:rPr>
              <w:t>0</w:t>
            </w:r>
            <w:r>
              <w:rPr>
                <w:rFonts w:ascii="宋体" w:cs="宋体"/>
                <w:szCs w:val="21"/>
              </w:rPr>
              <w:t>]</w:t>
            </w:r>
          </w:p>
        </w:tc>
      </w:tr>
      <w:tr w14:paraId="5DB5F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4792" w:type="dxa"/>
            <w:vAlign w:val="center"/>
          </w:tcPr>
          <w:p w14:paraId="7A295BF5">
            <w:pPr>
              <w:pStyle w:val="10"/>
              <w:numPr>
                <w:ilvl w:val="255"/>
                <w:numId w:val="0"/>
              </w:numPr>
              <w:jc w:val="center"/>
              <w:rPr>
                <w:rFonts w:ascii="宋体" w:cs="宋体"/>
                <w:szCs w:val="21"/>
              </w:rPr>
            </w:pPr>
            <w:r>
              <w:rPr>
                <w:rFonts w:hint="eastAsia" w:ascii="宋体" w:hAnsi="宋体" w:cs="宋体"/>
                <w:szCs w:val="21"/>
              </w:rPr>
              <w:t>100（含）-200</w:t>
            </w:r>
          </w:p>
        </w:tc>
        <w:tc>
          <w:tcPr>
            <w:tcW w:w="4279" w:type="dxa"/>
            <w:vAlign w:val="center"/>
          </w:tcPr>
          <w:p w14:paraId="25F6A371">
            <w:pPr>
              <w:pStyle w:val="10"/>
              <w:numPr>
                <w:ilvl w:val="255"/>
                <w:numId w:val="0"/>
              </w:numPr>
              <w:jc w:val="center"/>
              <w:rPr>
                <w:rFonts w:ascii="宋体" w:cs="宋体"/>
                <w:szCs w:val="21"/>
              </w:rPr>
            </w:pPr>
            <w:r>
              <w:rPr>
                <w:rFonts w:ascii="宋体" w:cs="宋体"/>
                <w:szCs w:val="21"/>
              </w:rPr>
              <w:t>(0.</w:t>
            </w:r>
            <w:r>
              <w:rPr>
                <w:rFonts w:hint="eastAsia" w:ascii="宋体" w:cs="宋体"/>
                <w:szCs w:val="21"/>
              </w:rPr>
              <w:t>85</w:t>
            </w:r>
            <w:r>
              <w:rPr>
                <w:rFonts w:ascii="宋体" w:cs="宋体"/>
                <w:szCs w:val="21"/>
              </w:rPr>
              <w:t>,</w:t>
            </w:r>
            <w:r>
              <w:rPr>
                <w:rFonts w:hint="eastAsia" w:ascii="宋体" w:cs="宋体"/>
                <w:szCs w:val="21"/>
              </w:rPr>
              <w:t>0.9</w:t>
            </w:r>
            <w:r>
              <w:rPr>
                <w:rFonts w:hint="eastAsia" w:ascii="宋体" w:cs="宋体"/>
                <w:szCs w:val="21"/>
                <w:lang w:val="en-US" w:eastAsia="zh-CN"/>
              </w:rPr>
              <w:t>0</w:t>
            </w:r>
            <w:r>
              <w:rPr>
                <w:rFonts w:ascii="宋体" w:cs="宋体"/>
                <w:szCs w:val="21"/>
              </w:rPr>
              <w:t>]</w:t>
            </w:r>
          </w:p>
        </w:tc>
      </w:tr>
      <w:tr w14:paraId="77042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4792" w:type="dxa"/>
            <w:vAlign w:val="center"/>
          </w:tcPr>
          <w:p w14:paraId="3031A6AA">
            <w:pPr>
              <w:pStyle w:val="10"/>
              <w:numPr>
                <w:ilvl w:val="255"/>
                <w:numId w:val="0"/>
              </w:numPr>
              <w:jc w:val="center"/>
              <w:rPr>
                <w:rFonts w:ascii="宋体" w:cs="宋体"/>
                <w:szCs w:val="21"/>
              </w:rPr>
            </w:pPr>
            <w:r>
              <w:rPr>
                <w:rFonts w:hint="eastAsia" w:ascii="宋体" w:hAnsi="宋体" w:cs="宋体"/>
                <w:szCs w:val="21"/>
              </w:rPr>
              <w:t>200（含）-300</w:t>
            </w:r>
          </w:p>
        </w:tc>
        <w:tc>
          <w:tcPr>
            <w:tcW w:w="4279" w:type="dxa"/>
            <w:vAlign w:val="center"/>
          </w:tcPr>
          <w:p w14:paraId="5F72859E">
            <w:pPr>
              <w:pStyle w:val="10"/>
              <w:numPr>
                <w:ilvl w:val="255"/>
                <w:numId w:val="0"/>
              </w:numPr>
              <w:jc w:val="center"/>
              <w:rPr>
                <w:rFonts w:ascii="宋体" w:cs="宋体"/>
                <w:szCs w:val="21"/>
              </w:rPr>
            </w:pPr>
            <w:r>
              <w:rPr>
                <w:rFonts w:ascii="宋体" w:cs="宋体"/>
                <w:szCs w:val="21"/>
              </w:rPr>
              <w:t>(</w:t>
            </w:r>
            <w:r>
              <w:rPr>
                <w:rFonts w:hint="eastAsia" w:ascii="宋体" w:cs="宋体"/>
                <w:szCs w:val="21"/>
              </w:rPr>
              <w:t>0.8</w:t>
            </w:r>
            <w:r>
              <w:rPr>
                <w:rFonts w:hint="eastAsia" w:ascii="宋体" w:cs="宋体"/>
                <w:szCs w:val="21"/>
                <w:lang w:val="en-US" w:eastAsia="zh-CN"/>
              </w:rPr>
              <w:t>0</w:t>
            </w:r>
            <w:r>
              <w:rPr>
                <w:rFonts w:ascii="宋体" w:cs="宋体"/>
                <w:szCs w:val="21"/>
              </w:rPr>
              <w:t>,</w:t>
            </w:r>
            <w:r>
              <w:rPr>
                <w:rFonts w:hint="eastAsia" w:ascii="宋体" w:cs="宋体"/>
                <w:szCs w:val="21"/>
              </w:rPr>
              <w:t>0.85]</w:t>
            </w:r>
          </w:p>
        </w:tc>
      </w:tr>
      <w:tr w14:paraId="35349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4792" w:type="dxa"/>
            <w:vAlign w:val="center"/>
          </w:tcPr>
          <w:p w14:paraId="7B603BF7">
            <w:pPr>
              <w:pStyle w:val="10"/>
              <w:numPr>
                <w:ilvl w:val="255"/>
                <w:numId w:val="0"/>
              </w:numPr>
              <w:jc w:val="center"/>
              <w:rPr>
                <w:rFonts w:ascii="宋体" w:cs="宋体"/>
                <w:szCs w:val="21"/>
              </w:rPr>
            </w:pPr>
            <w:r>
              <w:rPr>
                <w:rFonts w:hint="eastAsia" w:ascii="宋体" w:hAnsi="宋体" w:cs="宋体"/>
                <w:szCs w:val="21"/>
              </w:rPr>
              <w:t>300（含）-500</w:t>
            </w:r>
          </w:p>
        </w:tc>
        <w:tc>
          <w:tcPr>
            <w:tcW w:w="4279" w:type="dxa"/>
            <w:vAlign w:val="center"/>
          </w:tcPr>
          <w:p w14:paraId="2A1BE2CD">
            <w:pPr>
              <w:pStyle w:val="10"/>
              <w:numPr>
                <w:ilvl w:val="255"/>
                <w:numId w:val="0"/>
              </w:numPr>
              <w:jc w:val="center"/>
              <w:rPr>
                <w:rFonts w:ascii="宋体" w:cs="宋体"/>
                <w:szCs w:val="21"/>
              </w:rPr>
            </w:pPr>
            <w:r>
              <w:rPr>
                <w:rFonts w:ascii="宋体" w:cs="宋体"/>
                <w:szCs w:val="21"/>
              </w:rPr>
              <w:t>(</w:t>
            </w:r>
            <w:r>
              <w:rPr>
                <w:rFonts w:hint="eastAsia" w:ascii="宋体" w:cs="宋体"/>
                <w:szCs w:val="21"/>
              </w:rPr>
              <w:t>0.7</w:t>
            </w:r>
            <w:r>
              <w:rPr>
                <w:rFonts w:hint="eastAsia" w:ascii="宋体" w:cs="宋体"/>
                <w:szCs w:val="21"/>
                <w:lang w:val="en-US" w:eastAsia="zh-CN"/>
              </w:rPr>
              <w:t>0</w:t>
            </w:r>
            <w:r>
              <w:rPr>
                <w:rFonts w:ascii="宋体" w:cs="宋体"/>
                <w:szCs w:val="21"/>
              </w:rPr>
              <w:t>,</w:t>
            </w:r>
            <w:r>
              <w:rPr>
                <w:rFonts w:hint="eastAsia" w:ascii="宋体" w:cs="宋体"/>
                <w:szCs w:val="21"/>
              </w:rPr>
              <w:t>0.8</w:t>
            </w:r>
            <w:r>
              <w:rPr>
                <w:rFonts w:hint="eastAsia" w:ascii="宋体" w:cs="宋体"/>
                <w:szCs w:val="21"/>
                <w:lang w:val="en-US" w:eastAsia="zh-CN"/>
              </w:rPr>
              <w:t>0</w:t>
            </w:r>
            <w:r>
              <w:rPr>
                <w:rFonts w:hint="eastAsia" w:ascii="宋体" w:cs="宋体"/>
                <w:szCs w:val="21"/>
              </w:rPr>
              <w:t>]</w:t>
            </w:r>
          </w:p>
        </w:tc>
      </w:tr>
      <w:tr w14:paraId="5EDC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4792" w:type="dxa"/>
            <w:vAlign w:val="center"/>
          </w:tcPr>
          <w:p w14:paraId="55BFF1D2">
            <w:pPr>
              <w:pStyle w:val="10"/>
              <w:numPr>
                <w:ilvl w:val="255"/>
                <w:numId w:val="0"/>
              </w:numPr>
              <w:jc w:val="center"/>
              <w:rPr>
                <w:rFonts w:ascii="宋体" w:cs="宋体"/>
                <w:szCs w:val="21"/>
              </w:rPr>
            </w:pPr>
            <w:r>
              <w:rPr>
                <w:rFonts w:hint="eastAsia" w:ascii="宋体" w:hAnsi="宋体" w:cs="宋体"/>
                <w:szCs w:val="21"/>
                <w:lang w:val="en-US" w:eastAsia="zh-CN"/>
              </w:rPr>
              <w:t>5</w:t>
            </w:r>
            <w:r>
              <w:rPr>
                <w:rFonts w:hint="eastAsia" w:ascii="宋体" w:hAnsi="宋体" w:cs="宋体"/>
                <w:szCs w:val="21"/>
              </w:rPr>
              <w:t>00（含）-</w:t>
            </w:r>
            <w:r>
              <w:rPr>
                <w:rFonts w:hint="eastAsia" w:ascii="宋体" w:hAnsi="宋体" w:cs="宋体"/>
                <w:szCs w:val="21"/>
                <w:lang w:val="en-US" w:eastAsia="zh-CN"/>
              </w:rPr>
              <w:t>10</w:t>
            </w:r>
            <w:r>
              <w:rPr>
                <w:rFonts w:hint="eastAsia" w:ascii="宋体" w:hAnsi="宋体" w:cs="宋体"/>
                <w:szCs w:val="21"/>
              </w:rPr>
              <w:t>00</w:t>
            </w:r>
          </w:p>
        </w:tc>
        <w:tc>
          <w:tcPr>
            <w:tcW w:w="4279" w:type="dxa"/>
            <w:vAlign w:val="center"/>
          </w:tcPr>
          <w:p w14:paraId="77DD9CC5">
            <w:pPr>
              <w:pStyle w:val="10"/>
              <w:numPr>
                <w:ilvl w:val="255"/>
                <w:numId w:val="0"/>
              </w:numPr>
              <w:jc w:val="center"/>
              <w:rPr>
                <w:rFonts w:ascii="宋体" w:cs="宋体"/>
                <w:szCs w:val="21"/>
              </w:rPr>
            </w:pPr>
            <w:r>
              <w:rPr>
                <w:rFonts w:hint="eastAsia" w:ascii="宋体" w:cs="宋体"/>
                <w:szCs w:val="21"/>
              </w:rPr>
              <w:t>[0.6</w:t>
            </w:r>
            <w:r>
              <w:rPr>
                <w:rFonts w:hint="eastAsia" w:ascii="宋体" w:cs="宋体"/>
                <w:szCs w:val="21"/>
                <w:lang w:val="en-US" w:eastAsia="zh-CN"/>
              </w:rPr>
              <w:t>0</w:t>
            </w:r>
            <w:r>
              <w:rPr>
                <w:rFonts w:ascii="宋体" w:cs="宋体"/>
                <w:szCs w:val="21"/>
              </w:rPr>
              <w:t>,</w:t>
            </w:r>
            <w:r>
              <w:rPr>
                <w:rFonts w:hint="eastAsia" w:ascii="宋体" w:cs="宋体"/>
                <w:szCs w:val="21"/>
              </w:rPr>
              <w:t>0.7</w:t>
            </w:r>
            <w:r>
              <w:rPr>
                <w:rFonts w:hint="eastAsia" w:ascii="宋体" w:cs="宋体"/>
                <w:szCs w:val="21"/>
                <w:lang w:val="en-US" w:eastAsia="zh-CN"/>
              </w:rPr>
              <w:t>0</w:t>
            </w:r>
            <w:r>
              <w:rPr>
                <w:rFonts w:hint="eastAsia" w:ascii="宋体" w:cs="宋体"/>
                <w:szCs w:val="21"/>
              </w:rPr>
              <w:t>]</w:t>
            </w:r>
          </w:p>
        </w:tc>
      </w:tr>
    </w:tbl>
    <w:p w14:paraId="27D722D8">
      <w:pPr>
        <w:jc w:val="left"/>
        <w:rPr>
          <w:rFonts w:ascii="宋体" w:hAnsi="宋体" w:eastAsia="宋体" w:cs="宋体"/>
          <w:szCs w:val="21"/>
        </w:rPr>
      </w:pPr>
    </w:p>
    <w:p w14:paraId="58E37DF1">
      <w:pPr>
        <w:keepNext w:val="0"/>
        <w:keepLines w:val="0"/>
        <w:widowControl/>
        <w:suppressLineNumbers w:val="0"/>
        <w:jc w:val="left"/>
        <w:rPr>
          <w:rFonts w:hint="default" w:ascii="宋体" w:hAnsi="宋体" w:eastAsia="宋体" w:cs="宋体"/>
          <w:szCs w:val="21"/>
          <w:lang w:val="en-US" w:eastAsia="zh-CN"/>
        </w:rPr>
      </w:pPr>
      <w:r>
        <w:rPr>
          <w:rFonts w:hint="eastAsia" w:ascii="宋体" w:hAnsi="宋体" w:eastAsia="宋体" w:cs="宋体"/>
          <w:szCs w:val="21"/>
          <w:lang w:val="en-US" w:eastAsia="zh-CN"/>
        </w:rPr>
        <w:t>2、赔付比例调整系数（F2）</w:t>
      </w:r>
    </w:p>
    <w:tbl>
      <w:tblPr>
        <w:tblStyle w:val="6"/>
        <w:tblW w:w="90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17"/>
        <w:gridCol w:w="3000"/>
        <w:gridCol w:w="2212"/>
        <w:gridCol w:w="1142"/>
      </w:tblGrid>
      <w:tr w14:paraId="74739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 w:hRule="atLeast"/>
        </w:trPr>
        <w:tc>
          <w:tcPr>
            <w:tcW w:w="2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702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被保险人</w:t>
            </w:r>
            <w:r>
              <w:rPr>
                <w:rStyle w:val="18"/>
                <w:b/>
                <w:bCs/>
                <w:lang w:val="en-US" w:eastAsia="zh-CN" w:bidi="ar"/>
              </w:rPr>
              <w:t>以参加社会基本医疗保险或者公费医疗身份投保，并以参加社会基本医疗保险或者公费医疗身份就诊并结算的赔付比例</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C90C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被保险人以参加社会基本医疗保险或者公费医疗身份投保，但未以参加社会基本医疗保险或者公费医疗身份就诊并结算的赔付比例</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E74B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被保险人未参加社会基本医疗保险或公费医疗身份投保的赔付比例</w:t>
            </w:r>
          </w:p>
        </w:tc>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5C3D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调整系数</w:t>
            </w:r>
          </w:p>
        </w:tc>
      </w:tr>
      <w:tr w14:paraId="073FE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F6C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E2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09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929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1.11 </w:t>
            </w:r>
          </w:p>
        </w:tc>
      </w:tr>
      <w:tr w14:paraId="1BA83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2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B94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02C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23F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4A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 </w:t>
            </w:r>
          </w:p>
        </w:tc>
      </w:tr>
      <w:tr w14:paraId="5B6D8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52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2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9E8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37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0.89 </w:t>
            </w:r>
          </w:p>
        </w:tc>
      </w:tr>
      <w:tr w14:paraId="1A8F9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92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A0D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304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1E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0.78 </w:t>
            </w:r>
          </w:p>
        </w:tc>
      </w:tr>
      <w:tr w14:paraId="250E7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C5F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D9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5E2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373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0.67 </w:t>
            </w:r>
          </w:p>
        </w:tc>
      </w:tr>
      <w:tr w14:paraId="5C2FA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2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6C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0F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94A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F1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0.56 </w:t>
            </w:r>
          </w:p>
        </w:tc>
      </w:tr>
      <w:tr w14:paraId="4F2BA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2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30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5E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7F6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BD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0.44 </w:t>
            </w:r>
          </w:p>
        </w:tc>
      </w:tr>
    </w:tbl>
    <w:p w14:paraId="47EDE86D">
      <w:pPr>
        <w:keepNext w:val="0"/>
        <w:keepLines w:val="0"/>
        <w:widowControl/>
        <w:suppressLineNumbers w:val="0"/>
        <w:jc w:val="left"/>
        <w:rPr>
          <w:rFonts w:hint="eastAsia" w:ascii="宋体" w:hAnsi="宋体" w:eastAsia="宋体" w:cs="宋体"/>
          <w:szCs w:val="21"/>
        </w:rPr>
      </w:pPr>
    </w:p>
    <w:p w14:paraId="54A0907E">
      <w:pPr>
        <w:jc w:val="left"/>
        <w:rPr>
          <w:rFonts w:ascii="宋体" w:hAnsi="宋体" w:eastAsia="宋体" w:cs="宋体"/>
          <w:szCs w:val="21"/>
        </w:rPr>
      </w:pPr>
      <w:r>
        <w:rPr>
          <w:rFonts w:hint="eastAsia" w:ascii="宋体" w:hAnsi="宋体" w:eastAsia="宋体" w:cs="宋体"/>
          <w:szCs w:val="21"/>
          <w:lang w:val="en-US" w:eastAsia="zh-CN"/>
        </w:rPr>
        <w:t>3、</w:t>
      </w:r>
      <w:r>
        <w:rPr>
          <w:rFonts w:hint="eastAsia" w:ascii="宋体" w:hAnsi="宋体" w:eastAsia="宋体" w:cs="宋体"/>
          <w:szCs w:val="21"/>
        </w:rPr>
        <w:t>保险金额调整系数（F</w:t>
      </w:r>
      <w:r>
        <w:rPr>
          <w:rFonts w:hint="eastAsia" w:ascii="宋体" w:hAnsi="宋体" w:eastAsia="宋体" w:cs="宋体"/>
          <w:szCs w:val="21"/>
          <w:lang w:val="en-US" w:eastAsia="zh-CN"/>
        </w:rPr>
        <w:t>3</w:t>
      </w:r>
      <w:r>
        <w:rPr>
          <w:rFonts w:hint="eastAsia" w:ascii="宋体" w:hAnsi="宋体" w:eastAsia="宋体" w:cs="宋体"/>
          <w:szCs w:val="21"/>
        </w:rPr>
        <w:t>）</w:t>
      </w:r>
    </w:p>
    <w:tbl>
      <w:tblPr>
        <w:tblStyle w:val="6"/>
        <w:tblW w:w="9071" w:type="dxa"/>
        <w:tblInd w:w="0" w:type="dxa"/>
        <w:tblLayout w:type="fixed"/>
        <w:tblCellMar>
          <w:top w:w="0" w:type="dxa"/>
          <w:left w:w="108" w:type="dxa"/>
          <w:bottom w:w="0" w:type="dxa"/>
          <w:right w:w="108" w:type="dxa"/>
        </w:tblCellMar>
      </w:tblPr>
      <w:tblGrid>
        <w:gridCol w:w="4526"/>
        <w:gridCol w:w="4545"/>
      </w:tblGrid>
      <w:tr w14:paraId="1FBCD4FC">
        <w:tblPrEx>
          <w:tblCellMar>
            <w:top w:w="0" w:type="dxa"/>
            <w:left w:w="108" w:type="dxa"/>
            <w:bottom w:w="0" w:type="dxa"/>
            <w:right w:w="108" w:type="dxa"/>
          </w:tblCellMar>
        </w:tblPrEx>
        <w:trPr>
          <w:trHeight w:val="446"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49A9E67B">
            <w:pPr>
              <w:widowControl/>
              <w:adjustRightInd w:val="0"/>
              <w:snapToGrid w:val="0"/>
              <w:spacing w:after="0"/>
              <w:jc w:val="center"/>
              <w:rPr>
                <w:rFonts w:ascii="宋体" w:hAnsi="宋体" w:eastAsia="宋体" w:cs="宋体"/>
                <w:b/>
                <w:bCs/>
                <w:szCs w:val="21"/>
              </w:rPr>
            </w:pPr>
            <w:r>
              <w:rPr>
                <w:rFonts w:hint="eastAsia" w:ascii="宋体" w:hAnsi="宋体" w:eastAsia="宋体" w:cs="宋体"/>
                <w:b/>
                <w:bCs/>
                <w:szCs w:val="21"/>
              </w:rPr>
              <w:t>保险金额（</w:t>
            </w:r>
            <w:r>
              <w:rPr>
                <w:rFonts w:hint="eastAsia" w:ascii="宋体" w:hAnsi="宋体" w:eastAsia="宋体" w:cs="宋体"/>
                <w:b/>
                <w:bCs/>
                <w:szCs w:val="21"/>
                <w:lang w:val="en-US" w:eastAsia="zh-CN"/>
              </w:rPr>
              <w:t>万</w:t>
            </w:r>
            <w:r>
              <w:rPr>
                <w:rFonts w:hint="eastAsia" w:ascii="宋体" w:hAnsi="宋体" w:eastAsia="宋体" w:cs="宋体"/>
                <w:b/>
                <w:bCs/>
                <w:szCs w:val="21"/>
              </w:rPr>
              <w:t>元）</w:t>
            </w:r>
          </w:p>
        </w:tc>
        <w:tc>
          <w:tcPr>
            <w:tcW w:w="4545" w:type="dxa"/>
            <w:tcBorders>
              <w:top w:val="single" w:color="000000" w:sz="4" w:space="0"/>
              <w:left w:val="nil"/>
              <w:bottom w:val="single" w:color="000000" w:sz="4" w:space="0"/>
              <w:right w:val="single" w:color="000000" w:sz="4" w:space="0"/>
            </w:tcBorders>
            <w:vAlign w:val="center"/>
          </w:tcPr>
          <w:p w14:paraId="27C812D4">
            <w:pPr>
              <w:widowControl/>
              <w:adjustRightInd w:val="0"/>
              <w:snapToGrid w:val="0"/>
              <w:spacing w:after="0"/>
              <w:jc w:val="center"/>
              <w:rPr>
                <w:rFonts w:ascii="宋体" w:hAnsi="宋体" w:eastAsia="宋体" w:cs="宋体"/>
                <w:b/>
                <w:bCs/>
                <w:szCs w:val="21"/>
              </w:rPr>
            </w:pPr>
            <w:r>
              <w:rPr>
                <w:rFonts w:hint="eastAsia" w:ascii="宋体" w:hAnsi="宋体" w:eastAsia="宋体" w:cs="宋体"/>
                <w:b/>
                <w:bCs/>
                <w:szCs w:val="21"/>
              </w:rPr>
              <w:t>调整系数</w:t>
            </w:r>
          </w:p>
        </w:tc>
      </w:tr>
      <w:tr w14:paraId="5F57D07B">
        <w:tblPrEx>
          <w:tblCellMar>
            <w:top w:w="0" w:type="dxa"/>
            <w:left w:w="108" w:type="dxa"/>
            <w:bottom w:w="0" w:type="dxa"/>
            <w:right w:w="108" w:type="dxa"/>
          </w:tblCellMar>
        </w:tblPrEx>
        <w:trPr>
          <w:trHeight w:val="466"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473D1B75">
            <w:pPr>
              <w:adjustRightInd w:val="0"/>
              <w:snapToGrid w:val="0"/>
              <w:jc w:val="center"/>
              <w:rPr>
                <w:rFonts w:ascii="宋体" w:hAnsi="宋体" w:eastAsia="宋体" w:cs="宋体"/>
                <w:szCs w:val="21"/>
              </w:rPr>
            </w:pPr>
            <w:r>
              <w:rPr>
                <w:rFonts w:hint="eastAsia" w:ascii="宋体" w:hAnsi="宋体" w:eastAsia="宋体" w:cs="宋体"/>
                <w:szCs w:val="21"/>
                <w:lang w:val="en-US" w:eastAsia="zh-CN"/>
              </w:rPr>
              <w:t>(</w:t>
            </w:r>
            <w:r>
              <w:rPr>
                <w:rFonts w:hint="eastAsia" w:ascii="宋体" w:hAnsi="宋体" w:eastAsia="宋体" w:cs="宋体"/>
                <w:szCs w:val="21"/>
              </w:rPr>
              <w:t>0,1]</w:t>
            </w:r>
          </w:p>
        </w:tc>
        <w:tc>
          <w:tcPr>
            <w:tcW w:w="4545" w:type="dxa"/>
            <w:tcBorders>
              <w:top w:val="single" w:color="000000" w:sz="4" w:space="0"/>
              <w:left w:val="nil"/>
              <w:bottom w:val="single" w:color="000000" w:sz="4" w:space="0"/>
              <w:right w:val="single" w:color="000000" w:sz="4" w:space="0"/>
            </w:tcBorders>
            <w:vAlign w:val="center"/>
          </w:tcPr>
          <w:p w14:paraId="4E30E30E">
            <w:pPr>
              <w:adjustRightInd w:val="0"/>
              <w:snapToGrid w:val="0"/>
              <w:jc w:val="center"/>
              <w:rPr>
                <w:rFonts w:ascii="宋体" w:hAnsi="宋体" w:eastAsia="宋体" w:cs="宋体"/>
                <w:szCs w:val="21"/>
              </w:rPr>
            </w:pPr>
            <w:r>
              <w:rPr>
                <w:rFonts w:hint="eastAsia" w:ascii="宋体" w:hAnsi="宋体" w:eastAsia="宋体" w:cs="宋体"/>
                <w:szCs w:val="21"/>
              </w:rPr>
              <w:t>[1.2</w:t>
            </w:r>
            <w:r>
              <w:rPr>
                <w:rFonts w:hint="eastAsia" w:ascii="宋体" w:hAnsi="宋体" w:eastAsia="宋体" w:cs="宋体"/>
                <w:szCs w:val="21"/>
                <w:lang w:val="en-US" w:eastAsia="zh-CN"/>
              </w:rPr>
              <w:t>0</w:t>
            </w:r>
            <w:r>
              <w:rPr>
                <w:rFonts w:hint="eastAsia" w:ascii="宋体" w:hAnsi="宋体" w:eastAsia="宋体" w:cs="宋体"/>
                <w:szCs w:val="21"/>
              </w:rPr>
              <w:t>,1</w:t>
            </w:r>
            <w:r>
              <w:rPr>
                <w:rFonts w:ascii="宋体" w:hAnsi="宋体" w:eastAsia="宋体" w:cs="宋体"/>
                <w:szCs w:val="21"/>
              </w:rPr>
              <w:t>.</w:t>
            </w:r>
            <w:r>
              <w:rPr>
                <w:rFonts w:hint="eastAsia" w:ascii="宋体" w:hAnsi="宋体" w:eastAsia="宋体" w:cs="宋体"/>
                <w:szCs w:val="21"/>
              </w:rPr>
              <w:t>5</w:t>
            </w:r>
            <w:r>
              <w:rPr>
                <w:rFonts w:hint="eastAsia" w:ascii="宋体" w:hAnsi="宋体" w:eastAsia="宋体" w:cs="宋体"/>
                <w:szCs w:val="21"/>
                <w:lang w:val="en-US" w:eastAsia="zh-CN"/>
              </w:rPr>
              <w:t>0</w:t>
            </w:r>
            <w:r>
              <w:rPr>
                <w:rFonts w:hint="eastAsia" w:ascii="宋体" w:hAnsi="宋体" w:eastAsia="宋体" w:cs="宋体"/>
                <w:szCs w:val="21"/>
              </w:rPr>
              <w:t>]</w:t>
            </w:r>
          </w:p>
        </w:tc>
      </w:tr>
      <w:tr w14:paraId="03B95860">
        <w:tblPrEx>
          <w:tblCellMar>
            <w:top w:w="0" w:type="dxa"/>
            <w:left w:w="108" w:type="dxa"/>
            <w:bottom w:w="0" w:type="dxa"/>
            <w:right w:w="108" w:type="dxa"/>
          </w:tblCellMar>
        </w:tblPrEx>
        <w:trPr>
          <w:trHeight w:val="466"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4F3F5664">
            <w:pPr>
              <w:adjustRightInd w:val="0"/>
              <w:snapToGrid w:val="0"/>
              <w:jc w:val="center"/>
              <w:rPr>
                <w:rFonts w:ascii="宋体" w:hAnsi="宋体" w:eastAsia="宋体" w:cs="宋体"/>
                <w:szCs w:val="21"/>
              </w:rPr>
            </w:pPr>
            <w:r>
              <w:rPr>
                <w:rFonts w:hint="eastAsia" w:ascii="宋体" w:hAnsi="宋体" w:eastAsia="宋体" w:cs="宋体"/>
                <w:szCs w:val="21"/>
              </w:rPr>
              <w:t>（1,5]</w:t>
            </w:r>
          </w:p>
        </w:tc>
        <w:tc>
          <w:tcPr>
            <w:tcW w:w="4545" w:type="dxa"/>
            <w:tcBorders>
              <w:top w:val="single" w:color="000000" w:sz="4" w:space="0"/>
              <w:left w:val="nil"/>
              <w:bottom w:val="single" w:color="000000" w:sz="4" w:space="0"/>
              <w:right w:val="single" w:color="000000" w:sz="4" w:space="0"/>
            </w:tcBorders>
            <w:vAlign w:val="center"/>
          </w:tcPr>
          <w:p w14:paraId="18877621">
            <w:pPr>
              <w:adjustRightInd w:val="0"/>
              <w:snapToGrid w:val="0"/>
              <w:jc w:val="center"/>
              <w:rPr>
                <w:rFonts w:ascii="宋体" w:hAnsi="宋体" w:eastAsia="宋体" w:cs="宋体"/>
                <w:szCs w:val="21"/>
              </w:rPr>
            </w:pPr>
            <w:r>
              <w:rPr>
                <w:rFonts w:hint="eastAsia" w:ascii="宋体" w:hAnsi="宋体" w:eastAsia="宋体" w:cs="宋体"/>
                <w:szCs w:val="21"/>
              </w:rPr>
              <w:t>[1.0</w:t>
            </w:r>
            <w:r>
              <w:rPr>
                <w:rFonts w:hint="eastAsia" w:ascii="宋体" w:hAnsi="宋体" w:eastAsia="宋体" w:cs="宋体"/>
                <w:szCs w:val="21"/>
                <w:lang w:val="en-US" w:eastAsia="zh-CN"/>
              </w:rPr>
              <w:t>0</w:t>
            </w:r>
            <w:r>
              <w:rPr>
                <w:rFonts w:hint="eastAsia" w:ascii="宋体" w:hAnsi="宋体" w:eastAsia="宋体" w:cs="宋体"/>
                <w:szCs w:val="21"/>
              </w:rPr>
              <w:t>,1.2</w:t>
            </w:r>
            <w:r>
              <w:rPr>
                <w:rFonts w:hint="eastAsia" w:ascii="宋体" w:hAnsi="宋体" w:eastAsia="宋体" w:cs="宋体"/>
                <w:szCs w:val="21"/>
                <w:lang w:val="en-US" w:eastAsia="zh-CN"/>
              </w:rPr>
              <w:t>0</w:t>
            </w:r>
            <w:r>
              <w:rPr>
                <w:rFonts w:hint="eastAsia" w:ascii="宋体" w:hAnsi="宋体" w:eastAsia="宋体" w:cs="宋体"/>
                <w:szCs w:val="21"/>
              </w:rPr>
              <w:t>)</w:t>
            </w:r>
          </w:p>
        </w:tc>
      </w:tr>
      <w:tr w14:paraId="67F8194A">
        <w:tblPrEx>
          <w:tblCellMar>
            <w:top w:w="0" w:type="dxa"/>
            <w:left w:w="108" w:type="dxa"/>
            <w:bottom w:w="0" w:type="dxa"/>
            <w:right w:w="108" w:type="dxa"/>
          </w:tblCellMar>
        </w:tblPrEx>
        <w:trPr>
          <w:trHeight w:val="475"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422529DC">
            <w:pPr>
              <w:adjustRightInd w:val="0"/>
              <w:snapToGrid w:val="0"/>
              <w:jc w:val="center"/>
              <w:rPr>
                <w:rFonts w:ascii="宋体" w:hAnsi="宋体" w:eastAsia="宋体" w:cs="宋体"/>
                <w:szCs w:val="21"/>
              </w:rPr>
            </w:pPr>
            <w:r>
              <w:rPr>
                <w:rFonts w:hint="eastAsia" w:ascii="宋体" w:hAnsi="宋体" w:eastAsia="宋体" w:cs="宋体"/>
                <w:szCs w:val="21"/>
              </w:rPr>
              <w:t>（5,10]</w:t>
            </w:r>
          </w:p>
        </w:tc>
        <w:tc>
          <w:tcPr>
            <w:tcW w:w="4545" w:type="dxa"/>
            <w:tcBorders>
              <w:top w:val="single" w:color="000000" w:sz="4" w:space="0"/>
              <w:left w:val="nil"/>
              <w:bottom w:val="single" w:color="000000" w:sz="4" w:space="0"/>
              <w:right w:val="single" w:color="000000" w:sz="4" w:space="0"/>
            </w:tcBorders>
            <w:vAlign w:val="center"/>
          </w:tcPr>
          <w:p w14:paraId="6D6918FF">
            <w:pPr>
              <w:adjustRightInd w:val="0"/>
              <w:snapToGrid w:val="0"/>
              <w:jc w:val="center"/>
              <w:rPr>
                <w:rFonts w:ascii="宋体" w:hAnsi="宋体" w:eastAsia="宋体" w:cs="宋体"/>
                <w:szCs w:val="21"/>
              </w:rPr>
            </w:pPr>
            <w:r>
              <w:rPr>
                <w:rFonts w:hint="eastAsia" w:ascii="宋体" w:hAnsi="宋体" w:eastAsia="宋体" w:cs="宋体"/>
                <w:szCs w:val="21"/>
              </w:rPr>
              <w:t>[0.8</w:t>
            </w:r>
            <w:r>
              <w:rPr>
                <w:rFonts w:hint="eastAsia" w:ascii="宋体" w:hAnsi="宋体" w:eastAsia="宋体" w:cs="宋体"/>
                <w:szCs w:val="21"/>
                <w:lang w:val="en-US" w:eastAsia="zh-CN"/>
              </w:rPr>
              <w:t>0</w:t>
            </w:r>
            <w:r>
              <w:rPr>
                <w:rFonts w:hint="eastAsia" w:ascii="宋体" w:hAnsi="宋体" w:eastAsia="宋体" w:cs="宋体"/>
                <w:szCs w:val="21"/>
              </w:rPr>
              <w:t>,1.0</w:t>
            </w:r>
            <w:r>
              <w:rPr>
                <w:rFonts w:hint="eastAsia" w:ascii="宋体" w:hAnsi="宋体" w:eastAsia="宋体" w:cs="宋体"/>
                <w:szCs w:val="21"/>
                <w:lang w:val="en-US" w:eastAsia="zh-CN"/>
              </w:rPr>
              <w:t>0</w:t>
            </w:r>
            <w:r>
              <w:rPr>
                <w:rFonts w:hint="eastAsia" w:ascii="宋体" w:hAnsi="宋体" w:eastAsia="宋体" w:cs="宋体"/>
                <w:szCs w:val="21"/>
              </w:rPr>
              <w:t>)</w:t>
            </w:r>
          </w:p>
        </w:tc>
      </w:tr>
      <w:tr w14:paraId="0278D6F9">
        <w:tblPrEx>
          <w:tblCellMar>
            <w:top w:w="0" w:type="dxa"/>
            <w:left w:w="108" w:type="dxa"/>
            <w:bottom w:w="0" w:type="dxa"/>
            <w:right w:w="108" w:type="dxa"/>
          </w:tblCellMar>
        </w:tblPrEx>
        <w:trPr>
          <w:trHeight w:val="475"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2F2B3626">
            <w:pPr>
              <w:adjustRightInd w:val="0"/>
              <w:snapToGrid w:val="0"/>
              <w:jc w:val="center"/>
              <w:rPr>
                <w:rFonts w:ascii="宋体" w:hAnsi="宋体" w:eastAsia="宋体" w:cs="宋体"/>
                <w:szCs w:val="21"/>
              </w:rPr>
            </w:pPr>
            <w:r>
              <w:rPr>
                <w:rFonts w:hint="eastAsia" w:ascii="宋体" w:hAnsi="宋体" w:eastAsia="宋体" w:cs="宋体"/>
                <w:szCs w:val="21"/>
              </w:rPr>
              <w:t>（10,20]</w:t>
            </w:r>
          </w:p>
        </w:tc>
        <w:tc>
          <w:tcPr>
            <w:tcW w:w="4545" w:type="dxa"/>
            <w:tcBorders>
              <w:top w:val="single" w:color="000000" w:sz="4" w:space="0"/>
              <w:left w:val="nil"/>
              <w:bottom w:val="single" w:color="000000" w:sz="4" w:space="0"/>
              <w:right w:val="single" w:color="000000" w:sz="4" w:space="0"/>
            </w:tcBorders>
            <w:vAlign w:val="center"/>
          </w:tcPr>
          <w:p w14:paraId="27E315E9">
            <w:pPr>
              <w:adjustRightInd w:val="0"/>
              <w:snapToGrid w:val="0"/>
              <w:jc w:val="center"/>
              <w:rPr>
                <w:rFonts w:ascii="宋体" w:hAnsi="宋体" w:eastAsia="宋体" w:cs="宋体"/>
                <w:szCs w:val="21"/>
              </w:rPr>
            </w:pPr>
            <w:r>
              <w:rPr>
                <w:rFonts w:hint="eastAsia" w:ascii="宋体" w:hAnsi="宋体" w:eastAsia="宋体" w:cs="宋体"/>
                <w:szCs w:val="21"/>
              </w:rPr>
              <w:t>[0.6</w:t>
            </w:r>
            <w:r>
              <w:rPr>
                <w:rFonts w:hint="eastAsia" w:ascii="宋体" w:hAnsi="宋体" w:eastAsia="宋体" w:cs="宋体"/>
                <w:szCs w:val="21"/>
                <w:lang w:val="en-US" w:eastAsia="zh-CN"/>
              </w:rPr>
              <w:t>0</w:t>
            </w:r>
            <w:r>
              <w:rPr>
                <w:rFonts w:hint="eastAsia" w:ascii="宋体" w:hAnsi="宋体" w:eastAsia="宋体" w:cs="宋体"/>
                <w:szCs w:val="21"/>
              </w:rPr>
              <w:t>,0.8</w:t>
            </w:r>
            <w:r>
              <w:rPr>
                <w:rFonts w:hint="eastAsia" w:ascii="宋体" w:hAnsi="宋体" w:eastAsia="宋体" w:cs="宋体"/>
                <w:szCs w:val="21"/>
                <w:lang w:val="en-US" w:eastAsia="zh-CN"/>
              </w:rPr>
              <w:t>0</w:t>
            </w:r>
            <w:r>
              <w:rPr>
                <w:rFonts w:hint="eastAsia" w:ascii="宋体" w:hAnsi="宋体" w:eastAsia="宋体" w:cs="宋体"/>
                <w:szCs w:val="21"/>
              </w:rPr>
              <w:t>)</w:t>
            </w:r>
          </w:p>
        </w:tc>
      </w:tr>
      <w:tr w14:paraId="785A6CC6">
        <w:tblPrEx>
          <w:tblCellMar>
            <w:top w:w="0" w:type="dxa"/>
            <w:left w:w="108" w:type="dxa"/>
            <w:bottom w:w="0" w:type="dxa"/>
            <w:right w:w="108" w:type="dxa"/>
          </w:tblCellMar>
        </w:tblPrEx>
        <w:trPr>
          <w:trHeight w:val="456"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3398DC0B">
            <w:pPr>
              <w:adjustRightInd w:val="0"/>
              <w:snapToGrid w:val="0"/>
              <w:jc w:val="center"/>
              <w:rPr>
                <w:rFonts w:ascii="宋体" w:hAnsi="宋体" w:eastAsia="宋体" w:cs="宋体"/>
                <w:szCs w:val="21"/>
              </w:rPr>
            </w:pPr>
            <w:r>
              <w:rPr>
                <w:rFonts w:hint="eastAsia" w:ascii="宋体" w:hAnsi="宋体" w:eastAsia="宋体" w:cs="宋体"/>
                <w:szCs w:val="21"/>
              </w:rPr>
              <w:t>（20,40]</w:t>
            </w:r>
          </w:p>
        </w:tc>
        <w:tc>
          <w:tcPr>
            <w:tcW w:w="4545" w:type="dxa"/>
            <w:tcBorders>
              <w:top w:val="single" w:color="000000" w:sz="4" w:space="0"/>
              <w:left w:val="nil"/>
              <w:bottom w:val="single" w:color="000000" w:sz="4" w:space="0"/>
              <w:right w:val="single" w:color="000000" w:sz="4" w:space="0"/>
            </w:tcBorders>
            <w:vAlign w:val="center"/>
          </w:tcPr>
          <w:p w14:paraId="3283C5EB">
            <w:pPr>
              <w:adjustRightInd w:val="0"/>
              <w:snapToGrid w:val="0"/>
              <w:jc w:val="center"/>
              <w:rPr>
                <w:rFonts w:ascii="宋体" w:hAnsi="宋体" w:eastAsia="宋体" w:cs="宋体"/>
                <w:szCs w:val="21"/>
              </w:rPr>
            </w:pPr>
            <w:r>
              <w:rPr>
                <w:rFonts w:hint="eastAsia" w:ascii="宋体" w:hAnsi="宋体" w:eastAsia="宋体" w:cs="宋体"/>
                <w:szCs w:val="21"/>
              </w:rPr>
              <w:t>[0.</w:t>
            </w:r>
            <w:r>
              <w:rPr>
                <w:rFonts w:hint="eastAsia" w:ascii="宋体" w:hAnsi="宋体" w:eastAsia="宋体" w:cs="宋体"/>
                <w:szCs w:val="21"/>
                <w:lang w:val="en-US" w:eastAsia="zh-CN"/>
              </w:rPr>
              <w:t>40</w:t>
            </w:r>
            <w:r>
              <w:rPr>
                <w:rFonts w:hint="eastAsia" w:ascii="宋体" w:hAnsi="宋体" w:eastAsia="宋体" w:cs="宋体"/>
                <w:szCs w:val="21"/>
              </w:rPr>
              <w:t>,0.6</w:t>
            </w:r>
            <w:r>
              <w:rPr>
                <w:rFonts w:hint="eastAsia" w:ascii="宋体" w:hAnsi="宋体" w:eastAsia="宋体" w:cs="宋体"/>
                <w:szCs w:val="21"/>
                <w:lang w:val="en-US" w:eastAsia="zh-CN"/>
              </w:rPr>
              <w:t>0</w:t>
            </w:r>
            <w:r>
              <w:rPr>
                <w:rFonts w:hint="eastAsia" w:ascii="宋体" w:hAnsi="宋体" w:eastAsia="宋体" w:cs="宋体"/>
                <w:szCs w:val="21"/>
              </w:rPr>
              <w:t>)</w:t>
            </w:r>
          </w:p>
        </w:tc>
      </w:tr>
      <w:tr w14:paraId="056D838D">
        <w:tblPrEx>
          <w:tblCellMar>
            <w:top w:w="0" w:type="dxa"/>
            <w:left w:w="108" w:type="dxa"/>
            <w:bottom w:w="0" w:type="dxa"/>
            <w:right w:w="108" w:type="dxa"/>
          </w:tblCellMar>
        </w:tblPrEx>
        <w:trPr>
          <w:trHeight w:val="475"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55BACEE8">
            <w:pPr>
              <w:adjustRightInd w:val="0"/>
              <w:snapToGrid w:val="0"/>
              <w:jc w:val="center"/>
              <w:rPr>
                <w:rFonts w:hint="default"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rPr>
              <w:t>40</w:t>
            </w:r>
            <w:r>
              <w:rPr>
                <w:rFonts w:hint="eastAsia" w:ascii="宋体" w:hAnsi="宋体" w:eastAsia="宋体" w:cs="宋体"/>
                <w:szCs w:val="21"/>
                <w:lang w:eastAsia="zh-CN"/>
              </w:rPr>
              <w:t>，</w:t>
            </w:r>
            <w:r>
              <w:rPr>
                <w:rFonts w:hint="eastAsia" w:ascii="宋体" w:hAnsi="宋体" w:eastAsia="宋体" w:cs="宋体"/>
                <w:szCs w:val="21"/>
                <w:lang w:val="en-US" w:eastAsia="zh-CN"/>
              </w:rPr>
              <w:t>100</w:t>
            </w:r>
            <w:r>
              <w:rPr>
                <w:rFonts w:hint="eastAsia" w:ascii="宋体" w:hAnsi="宋体" w:eastAsia="宋体" w:cs="宋体"/>
                <w:szCs w:val="21"/>
              </w:rPr>
              <w:t>]</w:t>
            </w:r>
          </w:p>
        </w:tc>
        <w:tc>
          <w:tcPr>
            <w:tcW w:w="4545" w:type="dxa"/>
            <w:tcBorders>
              <w:top w:val="single" w:color="000000" w:sz="4" w:space="0"/>
              <w:left w:val="nil"/>
              <w:bottom w:val="single" w:color="000000" w:sz="4" w:space="0"/>
              <w:right w:val="single" w:color="000000" w:sz="4" w:space="0"/>
            </w:tcBorders>
            <w:vAlign w:val="center"/>
          </w:tcPr>
          <w:p w14:paraId="6B4D4EFF">
            <w:pPr>
              <w:adjustRightInd w:val="0"/>
              <w:snapToGrid w:val="0"/>
              <w:jc w:val="center"/>
              <w:rPr>
                <w:rFonts w:ascii="宋体" w:hAnsi="宋体" w:eastAsia="宋体" w:cs="宋体"/>
                <w:szCs w:val="21"/>
              </w:rPr>
            </w:pPr>
            <w:r>
              <w:rPr>
                <w:rFonts w:hint="eastAsia" w:ascii="宋体" w:hAnsi="宋体" w:eastAsia="宋体" w:cs="宋体"/>
                <w:szCs w:val="21"/>
              </w:rPr>
              <w:t>[0.</w:t>
            </w:r>
            <w:r>
              <w:rPr>
                <w:rFonts w:hint="eastAsia" w:ascii="宋体" w:hAnsi="宋体" w:eastAsia="宋体" w:cs="宋体"/>
                <w:szCs w:val="21"/>
                <w:lang w:val="en-US" w:eastAsia="zh-CN"/>
              </w:rPr>
              <w:t>35</w:t>
            </w:r>
            <w:r>
              <w:rPr>
                <w:rFonts w:hint="eastAsia" w:ascii="宋体" w:hAnsi="宋体" w:eastAsia="宋体" w:cs="宋体"/>
                <w:szCs w:val="21"/>
              </w:rPr>
              <w:t>,0.</w:t>
            </w:r>
            <w:r>
              <w:rPr>
                <w:rFonts w:hint="eastAsia" w:ascii="宋体" w:hAnsi="宋体" w:eastAsia="宋体" w:cs="宋体"/>
                <w:szCs w:val="21"/>
                <w:lang w:val="en-US" w:eastAsia="zh-CN"/>
              </w:rPr>
              <w:t>40</w:t>
            </w:r>
            <w:r>
              <w:rPr>
                <w:rFonts w:hint="eastAsia" w:ascii="宋体" w:hAnsi="宋体" w:eastAsia="宋体" w:cs="宋体"/>
                <w:szCs w:val="21"/>
              </w:rPr>
              <w:t>)</w:t>
            </w:r>
          </w:p>
        </w:tc>
      </w:tr>
    </w:tbl>
    <w:p w14:paraId="64EB6CA3">
      <w:pPr>
        <w:keepNext w:val="0"/>
        <w:keepLines w:val="0"/>
        <w:widowControl/>
        <w:suppressLineNumbers w:val="0"/>
        <w:jc w:val="left"/>
        <w:rPr>
          <w:rFonts w:hint="default" w:ascii="宋体" w:hAnsi="宋体" w:eastAsia="宋体" w:cs="宋体"/>
          <w:szCs w:val="21"/>
          <w:lang w:val="en-US" w:eastAsia="zh-CN"/>
        </w:rPr>
      </w:pPr>
    </w:p>
    <w:p w14:paraId="25DD7697">
      <w:pPr>
        <w:keepNext w:val="0"/>
        <w:keepLines w:val="0"/>
        <w:widowControl/>
        <w:suppressLineNumbers w:val="0"/>
        <w:jc w:val="left"/>
        <w:rPr>
          <w:rFonts w:ascii="宋体" w:hAnsi="宋体" w:eastAsia="宋体" w:cs="宋体"/>
          <w:szCs w:val="21"/>
        </w:rPr>
      </w:pPr>
      <w:r>
        <w:rPr>
          <w:rFonts w:hint="eastAsia" w:ascii="宋体" w:hAnsi="宋体" w:eastAsia="宋体" w:cs="宋体"/>
          <w:color w:val="000000"/>
          <w:kern w:val="0"/>
          <w:sz w:val="21"/>
          <w:szCs w:val="21"/>
          <w:lang w:val="en-US" w:eastAsia="zh-CN" w:bidi="ar"/>
        </w:rPr>
        <w:t>4、被保险人常住地饮食习惯调整系数（F4）</w:t>
      </w:r>
    </w:p>
    <w:tbl>
      <w:tblPr>
        <w:tblStyle w:val="6"/>
        <w:tblW w:w="9071" w:type="dxa"/>
        <w:tblInd w:w="0" w:type="dxa"/>
        <w:tblLayout w:type="fixed"/>
        <w:tblCellMar>
          <w:top w:w="0" w:type="dxa"/>
          <w:left w:w="108" w:type="dxa"/>
          <w:bottom w:w="0" w:type="dxa"/>
          <w:right w:w="108" w:type="dxa"/>
        </w:tblCellMar>
      </w:tblPr>
      <w:tblGrid>
        <w:gridCol w:w="4542"/>
        <w:gridCol w:w="4529"/>
      </w:tblGrid>
      <w:tr w14:paraId="511A454F">
        <w:tblPrEx>
          <w:tblCellMar>
            <w:top w:w="0" w:type="dxa"/>
            <w:left w:w="108" w:type="dxa"/>
            <w:bottom w:w="0" w:type="dxa"/>
            <w:right w:w="108" w:type="dxa"/>
          </w:tblCellMar>
        </w:tblPrEx>
        <w:trPr>
          <w:trHeight w:val="283" w:hRule="atLeast"/>
        </w:trPr>
        <w:tc>
          <w:tcPr>
            <w:tcW w:w="4542" w:type="dxa"/>
            <w:tcBorders>
              <w:top w:val="single" w:color="auto" w:sz="4" w:space="0"/>
              <w:left w:val="single" w:color="auto" w:sz="4" w:space="0"/>
              <w:bottom w:val="single" w:color="auto" w:sz="4" w:space="0"/>
              <w:right w:val="single" w:color="auto" w:sz="4" w:space="0"/>
            </w:tcBorders>
            <w:vAlign w:val="bottom"/>
          </w:tcPr>
          <w:p w14:paraId="77ACDB8C">
            <w:pPr>
              <w:keepNext w:val="0"/>
              <w:keepLines w:val="0"/>
              <w:widowControl/>
              <w:suppressLineNumbers w:val="0"/>
              <w:ind w:firstLine="0" w:firstLineChars="0"/>
              <w:jc w:val="center"/>
              <w:rPr>
                <w:rFonts w:ascii="宋体" w:hAnsi="宋体" w:eastAsia="宋体" w:cs="宋体"/>
                <w:b/>
                <w:szCs w:val="21"/>
              </w:rPr>
            </w:pPr>
            <w:r>
              <w:rPr>
                <w:rFonts w:hint="eastAsia" w:ascii="宋体" w:hAnsi="宋体" w:eastAsia="宋体" w:cs="宋体"/>
                <w:b/>
                <w:bCs/>
                <w:color w:val="000000"/>
                <w:kern w:val="0"/>
                <w:sz w:val="21"/>
                <w:szCs w:val="21"/>
                <w:lang w:val="en-US" w:eastAsia="zh-CN" w:bidi="ar"/>
              </w:rPr>
              <w:t>被保险人常住地饮食习惯</w:t>
            </w:r>
          </w:p>
        </w:tc>
        <w:tc>
          <w:tcPr>
            <w:tcW w:w="4529" w:type="dxa"/>
            <w:tcBorders>
              <w:top w:val="single" w:color="auto" w:sz="4" w:space="0"/>
              <w:left w:val="nil"/>
              <w:bottom w:val="single" w:color="auto" w:sz="4" w:space="0"/>
              <w:right w:val="single" w:color="auto" w:sz="4" w:space="0"/>
            </w:tcBorders>
            <w:vAlign w:val="bottom"/>
          </w:tcPr>
          <w:p w14:paraId="72F442AD">
            <w:pPr>
              <w:widowControl/>
              <w:spacing w:line="312" w:lineRule="auto"/>
              <w:jc w:val="center"/>
              <w:rPr>
                <w:rFonts w:ascii="宋体" w:hAnsi="宋体" w:eastAsia="宋体" w:cs="宋体"/>
                <w:b/>
                <w:szCs w:val="21"/>
              </w:rPr>
            </w:pPr>
            <w:r>
              <w:rPr>
                <w:rFonts w:hint="eastAsia" w:ascii="宋体" w:hAnsi="宋体" w:eastAsia="宋体" w:cs="宋体"/>
                <w:b/>
                <w:szCs w:val="21"/>
              </w:rPr>
              <w:t>调整系数</w:t>
            </w:r>
          </w:p>
        </w:tc>
      </w:tr>
      <w:tr w14:paraId="177082D7">
        <w:tblPrEx>
          <w:tblCellMar>
            <w:top w:w="0" w:type="dxa"/>
            <w:left w:w="108" w:type="dxa"/>
            <w:bottom w:w="0" w:type="dxa"/>
            <w:right w:w="108" w:type="dxa"/>
          </w:tblCellMar>
        </w:tblPrEx>
        <w:trPr>
          <w:trHeight w:val="283" w:hRule="atLeast"/>
        </w:trPr>
        <w:tc>
          <w:tcPr>
            <w:tcW w:w="4542" w:type="dxa"/>
            <w:tcBorders>
              <w:top w:val="nil"/>
              <w:left w:val="single" w:color="auto" w:sz="4" w:space="0"/>
              <w:bottom w:val="single" w:color="auto" w:sz="4" w:space="0"/>
              <w:right w:val="single" w:color="auto" w:sz="4" w:space="0"/>
            </w:tcBorders>
            <w:vAlign w:val="bottom"/>
          </w:tcPr>
          <w:p w14:paraId="2FC54DCB">
            <w:pPr>
              <w:keepNext w:val="0"/>
              <w:keepLines w:val="0"/>
              <w:widowControl/>
              <w:suppressLineNumbers w:val="0"/>
              <w:ind w:firstLine="210" w:firstLineChars="100"/>
              <w:jc w:val="center"/>
              <w:rPr>
                <w:rFonts w:ascii="宋体" w:hAnsi="宋体" w:eastAsia="宋体" w:cs="宋体"/>
                <w:szCs w:val="21"/>
              </w:rPr>
            </w:pPr>
            <w:r>
              <w:rPr>
                <w:rFonts w:hint="eastAsia" w:ascii="宋体" w:hAnsi="宋体" w:eastAsia="宋体" w:cs="宋体"/>
                <w:color w:val="000000"/>
                <w:kern w:val="0"/>
                <w:sz w:val="21"/>
                <w:szCs w:val="21"/>
                <w:lang w:val="en-US" w:eastAsia="zh-CN" w:bidi="ar"/>
              </w:rPr>
              <w:t>当地较少食用野生食物</w:t>
            </w:r>
          </w:p>
        </w:tc>
        <w:tc>
          <w:tcPr>
            <w:tcW w:w="4529" w:type="dxa"/>
            <w:tcBorders>
              <w:top w:val="nil"/>
              <w:left w:val="nil"/>
              <w:bottom w:val="single" w:color="auto" w:sz="4" w:space="0"/>
              <w:right w:val="single" w:color="auto" w:sz="4" w:space="0"/>
            </w:tcBorders>
            <w:vAlign w:val="bottom"/>
          </w:tcPr>
          <w:p w14:paraId="09A4B927">
            <w:pPr>
              <w:widowControl/>
              <w:spacing w:line="312" w:lineRule="auto"/>
              <w:jc w:val="center"/>
              <w:rPr>
                <w:rFonts w:ascii="宋体" w:hAnsi="宋体" w:eastAsia="宋体" w:cs="宋体"/>
                <w:szCs w:val="21"/>
              </w:rPr>
            </w:pPr>
            <w:r>
              <w:rPr>
                <w:rFonts w:hint="eastAsia" w:ascii="宋体" w:hAnsi="宋体" w:eastAsia="宋体" w:cs="宋体"/>
                <w:szCs w:val="21"/>
              </w:rPr>
              <w:t>[0.</w:t>
            </w:r>
            <w:r>
              <w:rPr>
                <w:rFonts w:hint="eastAsia" w:ascii="宋体" w:hAnsi="宋体" w:eastAsia="宋体" w:cs="宋体"/>
                <w:szCs w:val="21"/>
                <w:lang w:val="en-US" w:eastAsia="zh-CN"/>
              </w:rPr>
              <w:t>6</w:t>
            </w:r>
            <w:r>
              <w:rPr>
                <w:rFonts w:hint="eastAsia" w:ascii="宋体" w:hAnsi="宋体" w:eastAsia="宋体" w:cs="宋体"/>
                <w:szCs w:val="21"/>
              </w:rPr>
              <w:t>,1.</w:t>
            </w:r>
            <w:r>
              <w:rPr>
                <w:rFonts w:hint="eastAsia" w:ascii="宋体" w:hAnsi="宋体" w:eastAsia="宋体" w:cs="宋体"/>
                <w:szCs w:val="21"/>
                <w:lang w:val="en-US" w:eastAsia="zh-CN"/>
              </w:rPr>
              <w:t>0</w:t>
            </w:r>
            <w:r>
              <w:rPr>
                <w:rFonts w:hint="eastAsia" w:ascii="宋体" w:hAnsi="宋体" w:eastAsia="宋体" w:cs="宋体"/>
                <w:szCs w:val="21"/>
              </w:rPr>
              <w:t>]</w:t>
            </w:r>
          </w:p>
        </w:tc>
      </w:tr>
      <w:tr w14:paraId="7BAEF65D">
        <w:trPr>
          <w:trHeight w:val="283" w:hRule="atLeast"/>
        </w:trPr>
        <w:tc>
          <w:tcPr>
            <w:tcW w:w="4542" w:type="dxa"/>
            <w:tcBorders>
              <w:top w:val="nil"/>
              <w:left w:val="single" w:color="auto" w:sz="4" w:space="0"/>
              <w:bottom w:val="single" w:color="auto" w:sz="4" w:space="0"/>
              <w:right w:val="single" w:color="auto" w:sz="4" w:space="0"/>
            </w:tcBorders>
            <w:vAlign w:val="bottom"/>
          </w:tcPr>
          <w:p w14:paraId="0B886312">
            <w:pPr>
              <w:keepNext w:val="0"/>
              <w:keepLines w:val="0"/>
              <w:widowControl/>
              <w:suppressLineNumbers w:val="0"/>
              <w:ind w:firstLine="210" w:firstLineChars="100"/>
              <w:jc w:val="center"/>
              <w:rPr>
                <w:rFonts w:ascii="宋体" w:hAnsi="宋体" w:eastAsia="宋体" w:cs="宋体"/>
                <w:szCs w:val="21"/>
              </w:rPr>
            </w:pPr>
            <w:r>
              <w:rPr>
                <w:rFonts w:hint="eastAsia" w:ascii="宋体" w:hAnsi="宋体" w:eastAsia="宋体" w:cs="宋体"/>
                <w:color w:val="000000"/>
                <w:kern w:val="0"/>
                <w:sz w:val="21"/>
                <w:szCs w:val="21"/>
                <w:lang w:val="en-US" w:eastAsia="zh-CN" w:bidi="ar"/>
              </w:rPr>
              <w:t>当地较多食用野生食物</w:t>
            </w:r>
          </w:p>
        </w:tc>
        <w:tc>
          <w:tcPr>
            <w:tcW w:w="4529" w:type="dxa"/>
            <w:tcBorders>
              <w:top w:val="nil"/>
              <w:left w:val="nil"/>
              <w:bottom w:val="single" w:color="auto" w:sz="4" w:space="0"/>
              <w:right w:val="single" w:color="auto" w:sz="4" w:space="0"/>
            </w:tcBorders>
            <w:vAlign w:val="bottom"/>
          </w:tcPr>
          <w:p w14:paraId="629C1ACE">
            <w:pPr>
              <w:widowControl/>
              <w:spacing w:line="312" w:lineRule="auto"/>
              <w:jc w:val="center"/>
              <w:rPr>
                <w:rFonts w:ascii="宋体" w:hAnsi="宋体" w:eastAsia="宋体" w:cs="宋体"/>
                <w:szCs w:val="21"/>
              </w:rPr>
            </w:pPr>
            <w:r>
              <w:rPr>
                <w:rFonts w:hint="eastAsia" w:ascii="宋体" w:hAnsi="宋体" w:eastAsia="宋体" w:cs="宋体"/>
                <w:szCs w:val="21"/>
                <w:lang w:eastAsia="zh-CN"/>
              </w:rPr>
              <w:t>（</w:t>
            </w:r>
            <w:r>
              <w:rPr>
                <w:rFonts w:hint="eastAsia" w:ascii="宋体" w:hAnsi="宋体" w:eastAsia="宋体" w:cs="宋体"/>
                <w:szCs w:val="21"/>
                <w:lang w:val="en-US" w:eastAsia="zh-CN"/>
              </w:rPr>
              <w:t>1.0,</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w:t>
            </w:r>
          </w:p>
        </w:tc>
      </w:tr>
    </w:tbl>
    <w:p w14:paraId="30E1F707">
      <w:pPr>
        <w:widowControl/>
        <w:spacing w:after="156"/>
        <w:rPr>
          <w:rFonts w:ascii="宋体" w:hAnsi="宋体" w:eastAsia="宋体" w:cs="宋体"/>
          <w:szCs w:val="21"/>
        </w:rPr>
      </w:pPr>
    </w:p>
    <w:p w14:paraId="7E57D25F">
      <w:pPr>
        <w:keepNext w:val="0"/>
        <w:keepLines w:val="0"/>
        <w:widowControl/>
        <w:suppressLineNumbers w:val="0"/>
        <w:jc w:val="left"/>
      </w:pPr>
      <w:r>
        <w:rPr>
          <w:rFonts w:hint="eastAsia" w:ascii="宋体" w:hAnsi="宋体" w:eastAsia="宋体" w:cs="宋体"/>
          <w:szCs w:val="21"/>
          <w:lang w:val="en-US" w:eastAsia="zh-CN"/>
        </w:rPr>
        <w:t>5</w:t>
      </w:r>
      <w:r>
        <w:rPr>
          <w:rFonts w:hint="eastAsia" w:ascii="宋体" w:hAnsi="宋体" w:eastAsia="宋体" w:cs="宋体"/>
          <w:szCs w:val="21"/>
          <w:lang w:eastAsia="zh-CN"/>
        </w:rPr>
        <w:t>、</w:t>
      </w:r>
      <w:r>
        <w:rPr>
          <w:rFonts w:hint="eastAsia" w:ascii="宋体" w:hAnsi="宋体" w:eastAsia="宋体" w:cs="宋体"/>
          <w:color w:val="000000"/>
          <w:kern w:val="0"/>
          <w:sz w:val="21"/>
          <w:szCs w:val="21"/>
          <w:lang w:val="en-US" w:eastAsia="zh-CN" w:bidi="ar"/>
        </w:rPr>
        <w:t>被保险人所在地医疗水平调整系数（F5）</w:t>
      </w:r>
    </w:p>
    <w:tbl>
      <w:tblPr>
        <w:tblStyle w:val="6"/>
        <w:tblW w:w="9071" w:type="dxa"/>
        <w:tblInd w:w="0" w:type="dxa"/>
        <w:tblLayout w:type="fixed"/>
        <w:tblCellMar>
          <w:top w:w="0" w:type="dxa"/>
          <w:left w:w="108" w:type="dxa"/>
          <w:bottom w:w="0" w:type="dxa"/>
          <w:right w:w="108" w:type="dxa"/>
        </w:tblCellMar>
      </w:tblPr>
      <w:tblGrid>
        <w:gridCol w:w="4550"/>
        <w:gridCol w:w="4521"/>
      </w:tblGrid>
      <w:tr w14:paraId="185772FD">
        <w:tblPrEx>
          <w:tblCellMar>
            <w:top w:w="0" w:type="dxa"/>
            <w:left w:w="108" w:type="dxa"/>
            <w:bottom w:w="0" w:type="dxa"/>
            <w:right w:w="108" w:type="dxa"/>
          </w:tblCellMar>
        </w:tblPrEx>
        <w:trPr>
          <w:trHeight w:val="285" w:hRule="atLeast"/>
        </w:trPr>
        <w:tc>
          <w:tcPr>
            <w:tcW w:w="4550" w:type="dxa"/>
            <w:tcBorders>
              <w:top w:val="single" w:color="auto" w:sz="4" w:space="0"/>
              <w:left w:val="single" w:color="auto" w:sz="4" w:space="0"/>
              <w:bottom w:val="single" w:color="auto" w:sz="4" w:space="0"/>
              <w:right w:val="single" w:color="auto" w:sz="4" w:space="0"/>
            </w:tcBorders>
            <w:vAlign w:val="center"/>
          </w:tcPr>
          <w:p w14:paraId="12938230">
            <w:pPr>
              <w:keepNext w:val="0"/>
              <w:keepLines w:val="0"/>
              <w:widowControl/>
              <w:suppressLineNumbers w:val="0"/>
              <w:adjustRightInd w:val="0"/>
              <w:snapToGrid w:val="0"/>
              <w:ind w:firstLine="0" w:firstLineChars="0"/>
              <w:jc w:val="center"/>
              <w:rPr>
                <w:rFonts w:ascii="宋体" w:hAnsi="宋体" w:eastAsia="宋体" w:cs="宋体"/>
                <w:b/>
                <w:szCs w:val="21"/>
              </w:rPr>
            </w:pPr>
            <w:r>
              <w:rPr>
                <w:rFonts w:hint="eastAsia" w:ascii="宋体" w:hAnsi="宋体" w:eastAsia="宋体" w:cs="宋体"/>
                <w:b/>
                <w:bCs/>
                <w:color w:val="000000"/>
                <w:kern w:val="0"/>
                <w:sz w:val="21"/>
                <w:szCs w:val="21"/>
                <w:lang w:val="en-US" w:eastAsia="zh-CN" w:bidi="ar"/>
              </w:rPr>
              <w:t>被保险人所在地医疗费用水平</w:t>
            </w:r>
          </w:p>
        </w:tc>
        <w:tc>
          <w:tcPr>
            <w:tcW w:w="4521" w:type="dxa"/>
            <w:tcBorders>
              <w:top w:val="single" w:color="auto" w:sz="4" w:space="0"/>
              <w:left w:val="nil"/>
              <w:bottom w:val="single" w:color="auto" w:sz="4" w:space="0"/>
              <w:right w:val="single" w:color="auto" w:sz="4" w:space="0"/>
            </w:tcBorders>
            <w:vAlign w:val="center"/>
          </w:tcPr>
          <w:p w14:paraId="04C94FAF">
            <w:pPr>
              <w:widowControl/>
              <w:adjustRightInd w:val="0"/>
              <w:snapToGrid w:val="0"/>
              <w:spacing w:line="240" w:lineRule="auto"/>
              <w:jc w:val="center"/>
              <w:rPr>
                <w:rFonts w:ascii="宋体" w:hAnsi="宋体" w:eastAsia="宋体" w:cs="宋体"/>
                <w:b/>
                <w:szCs w:val="21"/>
              </w:rPr>
            </w:pPr>
            <w:r>
              <w:rPr>
                <w:rFonts w:hint="eastAsia" w:ascii="宋体" w:hAnsi="宋体" w:eastAsia="宋体" w:cs="宋体"/>
                <w:b/>
                <w:szCs w:val="21"/>
              </w:rPr>
              <w:t>调整系数</w:t>
            </w:r>
          </w:p>
        </w:tc>
      </w:tr>
      <w:tr w14:paraId="13E91192">
        <w:tblPrEx>
          <w:tblCellMar>
            <w:top w:w="0" w:type="dxa"/>
            <w:left w:w="108" w:type="dxa"/>
            <w:bottom w:w="0" w:type="dxa"/>
            <w:right w:w="108" w:type="dxa"/>
          </w:tblCellMar>
        </w:tblPrEx>
        <w:trPr>
          <w:trHeight w:val="285" w:hRule="atLeast"/>
        </w:trPr>
        <w:tc>
          <w:tcPr>
            <w:tcW w:w="4550" w:type="dxa"/>
            <w:tcBorders>
              <w:top w:val="single" w:color="auto" w:sz="4" w:space="0"/>
              <w:left w:val="single" w:color="auto" w:sz="4" w:space="0"/>
              <w:bottom w:val="single" w:color="auto" w:sz="4" w:space="0"/>
              <w:right w:val="single" w:color="auto" w:sz="4" w:space="0"/>
            </w:tcBorders>
            <w:vAlign w:val="center"/>
          </w:tcPr>
          <w:p w14:paraId="2F6B8BFC">
            <w:pPr>
              <w:keepNext w:val="0"/>
              <w:keepLines w:val="0"/>
              <w:widowControl/>
              <w:suppressLineNumbers w:val="0"/>
              <w:adjustRightInd w:val="0"/>
              <w:snapToGrid w:val="0"/>
              <w:jc w:val="center"/>
              <w:rPr>
                <w:rFonts w:ascii="宋体" w:hAnsi="宋体" w:eastAsia="宋体" w:cs="宋体"/>
                <w:szCs w:val="21"/>
              </w:rPr>
            </w:pPr>
            <w:r>
              <w:rPr>
                <w:rFonts w:hint="eastAsia" w:ascii="宋体" w:hAnsi="宋体" w:eastAsia="宋体" w:cs="宋体"/>
                <w:color w:val="000000"/>
                <w:kern w:val="0"/>
                <w:sz w:val="21"/>
                <w:szCs w:val="21"/>
                <w:lang w:val="en-US" w:eastAsia="zh-CN" w:bidi="ar"/>
              </w:rPr>
              <w:t>人均医疗费用支出较低地区</w:t>
            </w:r>
          </w:p>
        </w:tc>
        <w:tc>
          <w:tcPr>
            <w:tcW w:w="4521" w:type="dxa"/>
            <w:tcBorders>
              <w:top w:val="single" w:color="auto" w:sz="4" w:space="0"/>
              <w:left w:val="single" w:color="auto" w:sz="4" w:space="0"/>
              <w:bottom w:val="single" w:color="auto" w:sz="4" w:space="0"/>
              <w:right w:val="single" w:color="auto" w:sz="4" w:space="0"/>
            </w:tcBorders>
            <w:vAlign w:val="center"/>
          </w:tcPr>
          <w:p w14:paraId="6D7FF575">
            <w:pPr>
              <w:widowControl/>
              <w:adjustRightInd w:val="0"/>
              <w:snapToGrid w:val="0"/>
              <w:spacing w:line="240" w:lineRule="auto"/>
              <w:jc w:val="center"/>
              <w:rPr>
                <w:rFonts w:ascii="宋体" w:hAnsi="宋体" w:eastAsia="宋体" w:cs="宋体"/>
                <w:szCs w:val="21"/>
              </w:rPr>
            </w:pPr>
            <w:r>
              <w:rPr>
                <w:rFonts w:hint="eastAsia" w:ascii="宋体" w:hAnsi="宋体" w:eastAsia="宋体" w:cs="宋体"/>
                <w:szCs w:val="21"/>
              </w:rPr>
              <w:t>[0.7,0.9）</w:t>
            </w:r>
          </w:p>
        </w:tc>
      </w:tr>
      <w:tr w14:paraId="437C4D63">
        <w:tblPrEx>
          <w:tblCellMar>
            <w:top w:w="0" w:type="dxa"/>
            <w:left w:w="108" w:type="dxa"/>
            <w:bottom w:w="0" w:type="dxa"/>
            <w:right w:w="108" w:type="dxa"/>
          </w:tblCellMar>
        </w:tblPrEx>
        <w:trPr>
          <w:trHeight w:val="428" w:hRule="atLeast"/>
        </w:trPr>
        <w:tc>
          <w:tcPr>
            <w:tcW w:w="4550" w:type="dxa"/>
            <w:tcBorders>
              <w:top w:val="single" w:color="auto" w:sz="4" w:space="0"/>
              <w:left w:val="single" w:color="auto" w:sz="4" w:space="0"/>
              <w:bottom w:val="single" w:color="auto" w:sz="4" w:space="0"/>
              <w:right w:val="single" w:color="auto" w:sz="4" w:space="0"/>
            </w:tcBorders>
            <w:vAlign w:val="center"/>
          </w:tcPr>
          <w:p w14:paraId="0998016D">
            <w:pPr>
              <w:keepNext w:val="0"/>
              <w:keepLines w:val="0"/>
              <w:widowControl/>
              <w:suppressLineNumbers w:val="0"/>
              <w:adjustRightInd w:val="0"/>
              <w:snapToGrid w:val="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人均医疗费用支出中等地区</w:t>
            </w:r>
          </w:p>
        </w:tc>
        <w:tc>
          <w:tcPr>
            <w:tcW w:w="4521" w:type="dxa"/>
            <w:tcBorders>
              <w:top w:val="single" w:color="auto" w:sz="4" w:space="0"/>
              <w:left w:val="single" w:color="auto" w:sz="4" w:space="0"/>
              <w:bottom w:val="single" w:color="auto" w:sz="4" w:space="0"/>
              <w:right w:val="single" w:color="auto" w:sz="4" w:space="0"/>
            </w:tcBorders>
            <w:vAlign w:val="center"/>
          </w:tcPr>
          <w:p w14:paraId="4C4790F9">
            <w:pPr>
              <w:widowControl/>
              <w:adjustRightInd w:val="0"/>
              <w:snapToGrid w:val="0"/>
              <w:spacing w:line="240" w:lineRule="auto"/>
              <w:jc w:val="center"/>
              <w:rPr>
                <w:rFonts w:hint="eastAsia" w:ascii="宋体" w:hAnsi="宋体" w:eastAsia="宋体" w:cs="宋体"/>
                <w:szCs w:val="21"/>
              </w:rPr>
            </w:pPr>
            <w:r>
              <w:rPr>
                <w:rFonts w:hint="eastAsia" w:ascii="宋体" w:hAnsi="宋体" w:eastAsia="宋体" w:cs="宋体"/>
                <w:szCs w:val="21"/>
              </w:rPr>
              <w:t>[0.9,1.0）</w:t>
            </w:r>
          </w:p>
        </w:tc>
      </w:tr>
      <w:tr w14:paraId="45F5217A">
        <w:tblPrEx>
          <w:tblCellMar>
            <w:top w:w="0" w:type="dxa"/>
            <w:left w:w="108" w:type="dxa"/>
            <w:bottom w:w="0" w:type="dxa"/>
            <w:right w:w="108" w:type="dxa"/>
          </w:tblCellMar>
        </w:tblPrEx>
        <w:trPr>
          <w:trHeight w:val="412" w:hRule="atLeast"/>
        </w:trPr>
        <w:tc>
          <w:tcPr>
            <w:tcW w:w="4550" w:type="dxa"/>
            <w:tcBorders>
              <w:top w:val="single" w:color="auto" w:sz="4" w:space="0"/>
              <w:left w:val="single" w:color="auto" w:sz="4" w:space="0"/>
              <w:bottom w:val="single" w:color="auto" w:sz="4" w:space="0"/>
              <w:right w:val="single" w:color="auto" w:sz="4" w:space="0"/>
            </w:tcBorders>
            <w:vAlign w:val="center"/>
          </w:tcPr>
          <w:p w14:paraId="7D67EBE1">
            <w:pPr>
              <w:keepNext w:val="0"/>
              <w:keepLines w:val="0"/>
              <w:widowControl/>
              <w:suppressLineNumbers w:val="0"/>
              <w:adjustRightInd w:val="0"/>
              <w:snapToGrid w:val="0"/>
              <w:jc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人均医疗费用支出较高地区</w:t>
            </w:r>
          </w:p>
        </w:tc>
        <w:tc>
          <w:tcPr>
            <w:tcW w:w="4521" w:type="dxa"/>
            <w:tcBorders>
              <w:top w:val="single" w:color="auto" w:sz="4" w:space="0"/>
              <w:left w:val="single" w:color="auto" w:sz="4" w:space="0"/>
              <w:bottom w:val="single" w:color="auto" w:sz="4" w:space="0"/>
              <w:right w:val="single" w:color="auto" w:sz="4" w:space="0"/>
            </w:tcBorders>
            <w:vAlign w:val="center"/>
          </w:tcPr>
          <w:p w14:paraId="115D9BD7">
            <w:pPr>
              <w:keepNext w:val="0"/>
              <w:keepLines w:val="0"/>
              <w:widowControl/>
              <w:suppressLineNumbers w:val="0"/>
              <w:adjustRightInd w:val="0"/>
              <w:snapToGrid w:val="0"/>
              <w:ind w:firstLine="1680" w:firstLineChars="800"/>
              <w:jc w:val="both"/>
              <w:rPr>
                <w:rFonts w:hint="eastAsia" w:ascii="宋体" w:hAnsi="宋体" w:eastAsia="宋体" w:cs="宋体"/>
                <w:kern w:val="2"/>
                <w:sz w:val="21"/>
                <w:szCs w:val="21"/>
                <w:lang w:val="en-US" w:eastAsia="zh-CN" w:bidi="ar-SA"/>
              </w:rPr>
            </w:pPr>
            <w:r>
              <w:rPr>
                <w:rFonts w:hint="eastAsia" w:ascii="宋体" w:hAnsi="宋体" w:eastAsia="宋体" w:cs="宋体"/>
                <w:color w:val="000000"/>
                <w:kern w:val="0"/>
                <w:sz w:val="21"/>
                <w:szCs w:val="21"/>
                <w:lang w:val="en-US" w:eastAsia="zh-CN" w:bidi="ar"/>
              </w:rPr>
              <w:t>（1.0,1.3]</w:t>
            </w:r>
          </w:p>
        </w:tc>
      </w:tr>
    </w:tbl>
    <w:p w14:paraId="1377A367">
      <w:pPr>
        <w:widowControl/>
        <w:spacing w:after="156"/>
        <w:rPr>
          <w:rFonts w:hint="eastAsia" w:ascii="宋体" w:hAnsi="宋体" w:eastAsia="宋体" w:cs="宋体"/>
          <w:szCs w:val="21"/>
        </w:rPr>
      </w:pPr>
    </w:p>
    <w:p w14:paraId="63D8248C">
      <w:pPr>
        <w:widowControl/>
        <w:spacing w:after="156"/>
        <w:rPr>
          <w:rFonts w:ascii="宋体" w:hAnsi="宋体" w:eastAsia="宋体" w:cs="宋体"/>
          <w:szCs w:val="21"/>
        </w:rPr>
      </w:pPr>
      <w:r>
        <w:rPr>
          <w:rFonts w:hint="eastAsia" w:ascii="宋体" w:hAnsi="宋体" w:eastAsia="宋体" w:cs="宋体"/>
          <w:szCs w:val="21"/>
          <w:lang w:val="en-US" w:eastAsia="zh-CN"/>
        </w:rPr>
        <w:t>6、经验</w:t>
      </w:r>
      <w:r>
        <w:rPr>
          <w:rFonts w:hint="eastAsia" w:ascii="宋体" w:hAnsi="宋体" w:eastAsia="宋体" w:cs="宋体"/>
          <w:szCs w:val="21"/>
        </w:rPr>
        <w:t>/预期赔付率调整系数（F</w:t>
      </w:r>
      <w:r>
        <w:rPr>
          <w:rFonts w:hint="eastAsia" w:ascii="宋体" w:hAnsi="宋体" w:eastAsia="宋体" w:cs="宋体"/>
          <w:szCs w:val="21"/>
          <w:lang w:val="en-US" w:eastAsia="zh-CN"/>
        </w:rPr>
        <w:t>6</w:t>
      </w:r>
      <w:r>
        <w:rPr>
          <w:rFonts w:hint="eastAsia" w:ascii="宋体" w:hAnsi="宋体" w:eastAsia="宋体" w:cs="宋体"/>
          <w:szCs w:val="21"/>
        </w:rPr>
        <w:t>）</w:t>
      </w:r>
    </w:p>
    <w:tbl>
      <w:tblPr>
        <w:tblStyle w:val="6"/>
        <w:tblW w:w="9071" w:type="dxa"/>
        <w:tblInd w:w="0" w:type="dxa"/>
        <w:tblLayout w:type="fixed"/>
        <w:tblCellMar>
          <w:top w:w="0" w:type="dxa"/>
          <w:left w:w="108" w:type="dxa"/>
          <w:bottom w:w="0" w:type="dxa"/>
          <w:right w:w="108" w:type="dxa"/>
        </w:tblCellMar>
      </w:tblPr>
      <w:tblGrid>
        <w:gridCol w:w="4572"/>
        <w:gridCol w:w="4499"/>
      </w:tblGrid>
      <w:tr w14:paraId="0C9FB6EB">
        <w:tblPrEx>
          <w:tblCellMar>
            <w:top w:w="0" w:type="dxa"/>
            <w:left w:w="108" w:type="dxa"/>
            <w:bottom w:w="0" w:type="dxa"/>
            <w:right w:w="108" w:type="dxa"/>
          </w:tblCellMar>
        </w:tblPrEx>
        <w:trPr>
          <w:trHeight w:val="473" w:hRule="atLeast"/>
        </w:trPr>
        <w:tc>
          <w:tcPr>
            <w:tcW w:w="4572" w:type="dxa"/>
            <w:tcBorders>
              <w:top w:val="single" w:color="000000" w:sz="4" w:space="0"/>
              <w:left w:val="single" w:color="000000" w:sz="4" w:space="0"/>
              <w:bottom w:val="single" w:color="000000" w:sz="4" w:space="0"/>
              <w:right w:val="single" w:color="000000" w:sz="4" w:space="0"/>
            </w:tcBorders>
            <w:vAlign w:val="center"/>
          </w:tcPr>
          <w:p w14:paraId="338632DC">
            <w:pPr>
              <w:widowControl/>
              <w:adjustRightInd w:val="0"/>
              <w:snapToGrid w:val="0"/>
              <w:spacing w:after="0"/>
              <w:jc w:val="center"/>
              <w:rPr>
                <w:rFonts w:ascii="宋体" w:hAnsi="宋体" w:eastAsia="宋体" w:cs="宋体"/>
                <w:b/>
                <w:bCs/>
                <w:szCs w:val="21"/>
              </w:rPr>
            </w:pPr>
            <w:r>
              <w:rPr>
                <w:rFonts w:hint="eastAsia" w:ascii="宋体" w:hAnsi="宋体" w:eastAsia="宋体" w:cs="宋体"/>
                <w:b/>
                <w:bCs/>
                <w:szCs w:val="21"/>
                <w:lang w:val="en-US" w:eastAsia="zh-CN"/>
              </w:rPr>
              <w:t>经验</w:t>
            </w:r>
            <w:r>
              <w:rPr>
                <w:rFonts w:hint="eastAsia" w:ascii="宋体" w:hAnsi="宋体" w:eastAsia="宋体" w:cs="宋体"/>
                <w:b/>
                <w:bCs/>
                <w:szCs w:val="21"/>
              </w:rPr>
              <w:t>/预期赔付率</w:t>
            </w:r>
          </w:p>
        </w:tc>
        <w:tc>
          <w:tcPr>
            <w:tcW w:w="4499" w:type="dxa"/>
            <w:tcBorders>
              <w:top w:val="single" w:color="000000" w:sz="4" w:space="0"/>
              <w:left w:val="nil"/>
              <w:bottom w:val="single" w:color="000000" w:sz="4" w:space="0"/>
              <w:right w:val="single" w:color="000000" w:sz="4" w:space="0"/>
            </w:tcBorders>
            <w:vAlign w:val="center"/>
          </w:tcPr>
          <w:p w14:paraId="66F3BDC5">
            <w:pPr>
              <w:widowControl/>
              <w:adjustRightInd w:val="0"/>
              <w:snapToGrid w:val="0"/>
              <w:spacing w:after="0"/>
              <w:jc w:val="center"/>
              <w:rPr>
                <w:rFonts w:ascii="宋体" w:hAnsi="宋体" w:eastAsia="宋体" w:cs="宋体"/>
                <w:b/>
                <w:bCs/>
                <w:szCs w:val="21"/>
              </w:rPr>
            </w:pPr>
            <w:r>
              <w:rPr>
                <w:rFonts w:hint="eastAsia" w:ascii="宋体" w:hAnsi="宋体" w:eastAsia="宋体" w:cs="宋体"/>
                <w:b/>
                <w:bCs/>
                <w:szCs w:val="21"/>
              </w:rPr>
              <w:t>调整系数</w:t>
            </w:r>
          </w:p>
        </w:tc>
      </w:tr>
      <w:tr w14:paraId="586F94A4">
        <w:tblPrEx>
          <w:tblCellMar>
            <w:top w:w="0" w:type="dxa"/>
            <w:left w:w="108" w:type="dxa"/>
            <w:bottom w:w="0" w:type="dxa"/>
            <w:right w:w="108" w:type="dxa"/>
          </w:tblCellMar>
        </w:tblPrEx>
        <w:trPr>
          <w:trHeight w:val="494" w:hRule="atLeast"/>
        </w:trPr>
        <w:tc>
          <w:tcPr>
            <w:tcW w:w="4572" w:type="dxa"/>
            <w:tcBorders>
              <w:top w:val="single" w:color="000000" w:sz="4" w:space="0"/>
              <w:left w:val="single" w:color="000000" w:sz="4" w:space="0"/>
              <w:bottom w:val="single" w:color="000000" w:sz="4" w:space="0"/>
              <w:right w:val="single" w:color="000000" w:sz="4" w:space="0"/>
            </w:tcBorders>
            <w:vAlign w:val="center"/>
          </w:tcPr>
          <w:p w14:paraId="3D442792">
            <w:pPr>
              <w:widowControl/>
              <w:adjustRightInd w:val="0"/>
              <w:snapToGrid w:val="0"/>
              <w:spacing w:after="0"/>
              <w:jc w:val="center"/>
              <w:rPr>
                <w:rFonts w:hint="eastAsia" w:ascii="宋体" w:hAnsi="宋体" w:eastAsia="宋体" w:cs="宋体"/>
                <w:szCs w:val="21"/>
                <w:lang w:eastAsia="zh-CN"/>
              </w:rPr>
            </w:pPr>
            <w:r>
              <w:rPr>
                <w:rFonts w:hint="eastAsia" w:ascii="宋体" w:hAnsi="宋体" w:eastAsia="宋体" w:cs="宋体"/>
                <w:szCs w:val="21"/>
              </w:rPr>
              <w:t>0%（含）-</w:t>
            </w:r>
            <w:r>
              <w:rPr>
                <w:rFonts w:hint="eastAsia" w:ascii="宋体" w:hAnsi="宋体" w:eastAsia="宋体" w:cs="宋体"/>
                <w:szCs w:val="21"/>
                <w:lang w:val="en-US" w:eastAsia="zh-CN"/>
              </w:rPr>
              <w:t>65</w:t>
            </w:r>
            <w:r>
              <w:rPr>
                <w:rFonts w:hint="eastAsia" w:ascii="宋体" w:hAnsi="宋体" w:eastAsia="宋体" w:cs="宋体"/>
                <w:szCs w:val="21"/>
              </w:rPr>
              <w:t>%</w:t>
            </w:r>
            <w:r>
              <w:rPr>
                <w:rFonts w:hint="eastAsia" w:ascii="宋体" w:hAnsi="宋体" w:eastAsia="宋体" w:cs="宋体"/>
                <w:szCs w:val="21"/>
                <w:lang w:eastAsia="zh-CN"/>
              </w:rPr>
              <w:t>（</w:t>
            </w:r>
            <w:r>
              <w:rPr>
                <w:rFonts w:hint="eastAsia" w:ascii="宋体" w:hAnsi="宋体" w:eastAsia="宋体" w:cs="宋体"/>
                <w:szCs w:val="21"/>
                <w:lang w:val="en-US" w:eastAsia="zh-CN"/>
              </w:rPr>
              <w:t>不含</w:t>
            </w:r>
            <w:r>
              <w:rPr>
                <w:rFonts w:hint="eastAsia" w:ascii="宋体" w:hAnsi="宋体" w:eastAsia="宋体" w:cs="宋体"/>
                <w:szCs w:val="21"/>
                <w:lang w:eastAsia="zh-CN"/>
              </w:rPr>
              <w:t>）</w:t>
            </w:r>
          </w:p>
        </w:tc>
        <w:tc>
          <w:tcPr>
            <w:tcW w:w="4499" w:type="dxa"/>
            <w:tcBorders>
              <w:top w:val="single" w:color="000000" w:sz="4" w:space="0"/>
              <w:left w:val="nil"/>
              <w:bottom w:val="single" w:color="000000" w:sz="4" w:space="0"/>
              <w:right w:val="single" w:color="000000" w:sz="4" w:space="0"/>
            </w:tcBorders>
            <w:vAlign w:val="center"/>
          </w:tcPr>
          <w:p w14:paraId="3F1A082C">
            <w:pPr>
              <w:widowControl/>
              <w:adjustRightInd w:val="0"/>
              <w:snapToGrid w:val="0"/>
              <w:spacing w:after="0" w:line="240" w:lineRule="auto"/>
              <w:jc w:val="center"/>
              <w:rPr>
                <w:rFonts w:ascii="宋体" w:hAnsi="宋体" w:eastAsia="宋体" w:cs="宋体"/>
                <w:szCs w:val="21"/>
              </w:rPr>
            </w:pPr>
            <w:r>
              <w:rPr>
                <w:rFonts w:hint="eastAsia" w:ascii="宋体" w:hAnsi="宋体" w:eastAsia="宋体" w:cs="宋体"/>
                <w:szCs w:val="21"/>
              </w:rPr>
              <w:t>[0.</w:t>
            </w:r>
            <w:r>
              <w:rPr>
                <w:rFonts w:hint="eastAsia" w:ascii="宋体" w:hAnsi="宋体" w:eastAsia="宋体" w:cs="宋体"/>
                <w:szCs w:val="21"/>
                <w:lang w:val="en-US" w:eastAsia="zh-CN"/>
              </w:rPr>
              <w:t>7</w:t>
            </w:r>
            <w:r>
              <w:rPr>
                <w:rFonts w:hint="eastAsia" w:ascii="宋体" w:hAnsi="宋体" w:eastAsia="宋体" w:cs="宋体"/>
                <w:szCs w:val="21"/>
              </w:rPr>
              <w:t>,</w:t>
            </w:r>
            <w:r>
              <w:rPr>
                <w:rFonts w:hint="eastAsia" w:ascii="宋体" w:hAnsi="宋体" w:eastAsia="宋体" w:cs="宋体"/>
                <w:szCs w:val="21"/>
                <w:lang w:val="en-US" w:eastAsia="zh-CN"/>
              </w:rPr>
              <w:t>1.0</w:t>
            </w:r>
            <w:r>
              <w:rPr>
                <w:rFonts w:hint="eastAsia" w:ascii="宋体" w:hAnsi="宋体" w:eastAsia="宋体" w:cs="宋体"/>
                <w:szCs w:val="21"/>
              </w:rPr>
              <w:t>)</w:t>
            </w:r>
          </w:p>
        </w:tc>
      </w:tr>
      <w:tr w14:paraId="0875764D">
        <w:tblPrEx>
          <w:tblCellMar>
            <w:top w:w="0" w:type="dxa"/>
            <w:left w:w="108" w:type="dxa"/>
            <w:bottom w:w="0" w:type="dxa"/>
            <w:right w:w="108" w:type="dxa"/>
          </w:tblCellMar>
        </w:tblPrEx>
        <w:trPr>
          <w:trHeight w:val="473" w:hRule="atLeast"/>
        </w:trPr>
        <w:tc>
          <w:tcPr>
            <w:tcW w:w="4572" w:type="dxa"/>
            <w:tcBorders>
              <w:top w:val="single" w:color="000000" w:sz="4" w:space="0"/>
              <w:left w:val="single" w:color="000000" w:sz="4" w:space="0"/>
              <w:bottom w:val="single" w:color="000000" w:sz="4" w:space="0"/>
              <w:right w:val="single" w:color="000000" w:sz="4" w:space="0"/>
            </w:tcBorders>
            <w:vAlign w:val="center"/>
          </w:tcPr>
          <w:p w14:paraId="3173BE62">
            <w:pPr>
              <w:widowControl/>
              <w:adjustRightInd w:val="0"/>
              <w:snapToGrid w:val="0"/>
              <w:spacing w:after="0"/>
              <w:jc w:val="center"/>
              <w:rPr>
                <w:rFonts w:ascii="宋体" w:hAnsi="宋体" w:eastAsia="宋体" w:cs="宋体"/>
                <w:szCs w:val="21"/>
              </w:rPr>
            </w:pPr>
            <w:r>
              <w:rPr>
                <w:rFonts w:hint="eastAsia" w:ascii="宋体" w:hAnsi="宋体" w:eastAsia="宋体" w:cs="宋体"/>
                <w:szCs w:val="21"/>
                <w:lang w:val="en-US" w:eastAsia="zh-CN"/>
              </w:rPr>
              <w:t>65</w:t>
            </w:r>
            <w:r>
              <w:rPr>
                <w:rFonts w:hint="eastAsia" w:ascii="宋体" w:hAnsi="宋体" w:eastAsia="宋体" w:cs="宋体"/>
                <w:szCs w:val="21"/>
              </w:rPr>
              <w:t>%（含）以上</w:t>
            </w:r>
          </w:p>
        </w:tc>
        <w:tc>
          <w:tcPr>
            <w:tcW w:w="4499" w:type="dxa"/>
            <w:tcBorders>
              <w:top w:val="single" w:color="000000" w:sz="4" w:space="0"/>
              <w:left w:val="nil"/>
              <w:bottom w:val="single" w:color="000000" w:sz="4" w:space="0"/>
              <w:right w:val="single" w:color="000000" w:sz="4" w:space="0"/>
            </w:tcBorders>
            <w:vAlign w:val="center"/>
          </w:tcPr>
          <w:p w14:paraId="534F4973">
            <w:pPr>
              <w:widowControl/>
              <w:adjustRightInd w:val="0"/>
              <w:snapToGrid w:val="0"/>
              <w:spacing w:after="0"/>
              <w:jc w:val="center"/>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val="en-US" w:eastAsia="zh-CN"/>
              </w:rPr>
              <w:t>0</w:t>
            </w:r>
            <w:r>
              <w:rPr>
                <w:rFonts w:hint="eastAsia" w:ascii="宋体" w:hAnsi="宋体" w:eastAsia="宋体" w:cs="宋体"/>
                <w:szCs w:val="21"/>
              </w:rPr>
              <w:t>,1.</w:t>
            </w:r>
            <w:r>
              <w:rPr>
                <w:rFonts w:hint="eastAsia" w:ascii="宋体" w:hAnsi="宋体" w:eastAsia="宋体" w:cs="宋体"/>
                <w:szCs w:val="21"/>
                <w:lang w:val="en-US" w:eastAsia="zh-CN"/>
              </w:rPr>
              <w:t>3</w:t>
            </w:r>
            <w:r>
              <w:rPr>
                <w:rFonts w:ascii="宋体" w:hAnsi="宋体" w:eastAsia="宋体" w:cs="宋体"/>
                <w:szCs w:val="21"/>
              </w:rPr>
              <w:t>]</w:t>
            </w:r>
          </w:p>
        </w:tc>
      </w:tr>
    </w:tbl>
    <w:p w14:paraId="5BA98CFA">
      <w:pPr>
        <w:adjustRightInd w:val="0"/>
        <w:snapToGrid w:val="0"/>
        <w:jc w:val="left"/>
        <w:rPr>
          <w:rFonts w:ascii="宋体" w:hAnsi="宋体" w:eastAsia="宋体" w:cs="宋体"/>
          <w:szCs w:val="21"/>
        </w:rPr>
      </w:pPr>
    </w:p>
    <w:p w14:paraId="2A0C0C66">
      <w:pPr>
        <w:jc w:val="left"/>
        <w:rPr>
          <w:rFonts w:ascii="宋体" w:hAnsi="宋体" w:eastAsia="宋体" w:cs="宋体"/>
          <w:szCs w:val="21"/>
        </w:rPr>
      </w:pPr>
      <w:r>
        <w:rPr>
          <w:rFonts w:hint="eastAsia" w:ascii="宋体" w:hAnsi="宋体" w:eastAsia="宋体" w:cs="宋体"/>
          <w:szCs w:val="21"/>
          <w:lang w:val="en-US" w:eastAsia="zh-CN"/>
        </w:rPr>
        <w:t>7、</w:t>
      </w:r>
      <w:r>
        <w:rPr>
          <w:rFonts w:hint="eastAsia" w:ascii="宋体" w:hAnsi="宋体" w:eastAsia="宋体" w:cs="宋体"/>
          <w:szCs w:val="21"/>
        </w:rPr>
        <w:t>渠道调整系数（F</w:t>
      </w:r>
      <w:r>
        <w:rPr>
          <w:rFonts w:hint="eastAsia" w:ascii="宋体" w:hAnsi="宋体" w:eastAsia="宋体" w:cs="宋体"/>
          <w:szCs w:val="21"/>
          <w:lang w:val="en-US" w:eastAsia="zh-CN"/>
        </w:rPr>
        <w:t>7</w:t>
      </w:r>
      <w:r>
        <w:rPr>
          <w:rFonts w:hint="eastAsia" w:ascii="宋体" w:hAnsi="宋体" w:eastAsia="宋体" w:cs="宋体"/>
          <w:szCs w:val="21"/>
        </w:rPr>
        <w:t>）</w:t>
      </w:r>
    </w:p>
    <w:tbl>
      <w:tblPr>
        <w:tblStyle w:val="6"/>
        <w:tblW w:w="9071" w:type="dxa"/>
        <w:tblInd w:w="0" w:type="dxa"/>
        <w:tblLayout w:type="fixed"/>
        <w:tblCellMar>
          <w:top w:w="0" w:type="dxa"/>
          <w:left w:w="108" w:type="dxa"/>
          <w:bottom w:w="0" w:type="dxa"/>
          <w:right w:w="108" w:type="dxa"/>
        </w:tblCellMar>
      </w:tblPr>
      <w:tblGrid>
        <w:gridCol w:w="4526"/>
        <w:gridCol w:w="4545"/>
      </w:tblGrid>
      <w:tr w14:paraId="6F7A4F44">
        <w:tblPrEx>
          <w:tblCellMar>
            <w:top w:w="0" w:type="dxa"/>
            <w:left w:w="108" w:type="dxa"/>
            <w:bottom w:w="0" w:type="dxa"/>
            <w:right w:w="108" w:type="dxa"/>
          </w:tblCellMar>
        </w:tblPrEx>
        <w:trPr>
          <w:trHeight w:val="446"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2D9BD0FA">
            <w:pPr>
              <w:widowControl/>
              <w:adjustRightInd w:val="0"/>
              <w:snapToGrid w:val="0"/>
              <w:spacing w:after="0"/>
              <w:jc w:val="center"/>
              <w:rPr>
                <w:rFonts w:hint="eastAsia" w:ascii="宋体" w:hAnsi="宋体" w:eastAsia="宋体" w:cs="宋体"/>
                <w:b/>
                <w:bCs/>
                <w:szCs w:val="21"/>
                <w:lang w:val="en-US" w:eastAsia="zh-CN"/>
              </w:rPr>
            </w:pPr>
            <w:r>
              <w:rPr>
                <w:rFonts w:hint="eastAsia" w:ascii="宋体" w:hAnsi="宋体" w:eastAsia="宋体" w:cs="宋体"/>
                <w:b/>
                <w:bCs/>
                <w:szCs w:val="21"/>
              </w:rPr>
              <w:t>渠道</w:t>
            </w:r>
            <w:r>
              <w:rPr>
                <w:rFonts w:hint="eastAsia" w:ascii="宋体" w:hAnsi="宋体" w:eastAsia="宋体" w:cs="宋体"/>
                <w:b/>
                <w:bCs/>
                <w:szCs w:val="21"/>
                <w:lang w:val="en-US" w:eastAsia="zh-CN"/>
              </w:rPr>
              <w:t>类型</w:t>
            </w:r>
          </w:p>
        </w:tc>
        <w:tc>
          <w:tcPr>
            <w:tcW w:w="4545" w:type="dxa"/>
            <w:tcBorders>
              <w:top w:val="single" w:color="000000" w:sz="4" w:space="0"/>
              <w:left w:val="nil"/>
              <w:bottom w:val="single" w:color="000000" w:sz="4" w:space="0"/>
              <w:right w:val="single" w:color="000000" w:sz="4" w:space="0"/>
            </w:tcBorders>
            <w:vAlign w:val="center"/>
          </w:tcPr>
          <w:p w14:paraId="7A238677">
            <w:pPr>
              <w:widowControl/>
              <w:adjustRightInd w:val="0"/>
              <w:snapToGrid w:val="0"/>
              <w:spacing w:after="0"/>
              <w:jc w:val="center"/>
              <w:rPr>
                <w:rFonts w:ascii="宋体" w:hAnsi="宋体" w:eastAsia="宋体" w:cs="宋体"/>
                <w:b/>
                <w:bCs/>
                <w:szCs w:val="21"/>
              </w:rPr>
            </w:pPr>
            <w:r>
              <w:rPr>
                <w:rFonts w:hint="eastAsia" w:ascii="宋体" w:hAnsi="宋体" w:eastAsia="宋体" w:cs="宋体"/>
                <w:b/>
                <w:bCs/>
                <w:szCs w:val="21"/>
              </w:rPr>
              <w:t>调整系数</w:t>
            </w:r>
          </w:p>
        </w:tc>
      </w:tr>
      <w:tr w14:paraId="01CB441B">
        <w:tblPrEx>
          <w:tblCellMar>
            <w:top w:w="0" w:type="dxa"/>
            <w:left w:w="108" w:type="dxa"/>
            <w:bottom w:w="0" w:type="dxa"/>
            <w:right w:w="108" w:type="dxa"/>
          </w:tblCellMar>
        </w:tblPrEx>
        <w:trPr>
          <w:trHeight w:val="466"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5858A6A4">
            <w:pPr>
              <w:adjustRightInd w:val="0"/>
              <w:snapToGrid w:val="0"/>
              <w:jc w:val="center"/>
              <w:rPr>
                <w:rFonts w:ascii="宋体" w:hAnsi="宋体" w:eastAsia="宋体" w:cs="宋体"/>
                <w:szCs w:val="21"/>
              </w:rPr>
            </w:pPr>
            <w:r>
              <w:rPr>
                <w:rFonts w:hint="eastAsia" w:ascii="宋体" w:hAnsi="宋体" w:eastAsia="宋体" w:cs="宋体"/>
                <w:szCs w:val="21"/>
              </w:rPr>
              <w:t>直销（或销售费用率等同直销的渠道）</w:t>
            </w:r>
          </w:p>
        </w:tc>
        <w:tc>
          <w:tcPr>
            <w:tcW w:w="4545" w:type="dxa"/>
            <w:tcBorders>
              <w:top w:val="single" w:color="000000" w:sz="4" w:space="0"/>
              <w:left w:val="nil"/>
              <w:bottom w:val="single" w:color="000000" w:sz="4" w:space="0"/>
              <w:right w:val="single" w:color="000000" w:sz="4" w:space="0"/>
            </w:tcBorders>
            <w:vAlign w:val="center"/>
          </w:tcPr>
          <w:p w14:paraId="5F918C05">
            <w:pPr>
              <w:adjustRightInd w:val="0"/>
              <w:snapToGrid w:val="0"/>
              <w:jc w:val="center"/>
              <w:rPr>
                <w:rFonts w:ascii="宋体" w:hAnsi="宋体" w:eastAsia="宋体" w:cs="宋体"/>
                <w:szCs w:val="21"/>
              </w:rPr>
            </w:pPr>
            <w:r>
              <w:rPr>
                <w:rFonts w:hint="eastAsia" w:ascii="宋体" w:hAnsi="宋体" w:eastAsia="宋体" w:cs="宋体"/>
                <w:szCs w:val="21"/>
              </w:rPr>
              <w:t>[0.</w:t>
            </w:r>
            <w:r>
              <w:rPr>
                <w:rFonts w:hint="eastAsia" w:ascii="宋体" w:hAnsi="宋体" w:eastAsia="宋体" w:cs="宋体"/>
                <w:szCs w:val="21"/>
                <w:lang w:val="en-US" w:eastAsia="zh-CN"/>
              </w:rPr>
              <w:t>7</w:t>
            </w:r>
            <w:r>
              <w:rPr>
                <w:rFonts w:hint="eastAsia" w:ascii="宋体" w:hAnsi="宋体" w:eastAsia="宋体" w:cs="宋体"/>
                <w:szCs w:val="21"/>
              </w:rPr>
              <w:t>,1.0]</w:t>
            </w:r>
          </w:p>
        </w:tc>
      </w:tr>
      <w:tr w14:paraId="7DE13856">
        <w:tblPrEx>
          <w:tblCellMar>
            <w:top w:w="0" w:type="dxa"/>
            <w:left w:w="108" w:type="dxa"/>
            <w:bottom w:w="0" w:type="dxa"/>
            <w:right w:w="108" w:type="dxa"/>
          </w:tblCellMar>
        </w:tblPrEx>
        <w:trPr>
          <w:trHeight w:val="466" w:hRule="atLeast"/>
        </w:trPr>
        <w:tc>
          <w:tcPr>
            <w:tcW w:w="4526" w:type="dxa"/>
            <w:tcBorders>
              <w:top w:val="single" w:color="000000" w:sz="4" w:space="0"/>
              <w:left w:val="single" w:color="000000" w:sz="4" w:space="0"/>
              <w:bottom w:val="single" w:color="000000" w:sz="4" w:space="0"/>
              <w:right w:val="single" w:color="000000" w:sz="4" w:space="0"/>
            </w:tcBorders>
            <w:vAlign w:val="center"/>
          </w:tcPr>
          <w:p w14:paraId="56E12E3D">
            <w:pPr>
              <w:adjustRightInd w:val="0"/>
              <w:snapToGrid w:val="0"/>
              <w:jc w:val="center"/>
              <w:rPr>
                <w:rFonts w:ascii="宋体" w:hAnsi="宋体" w:eastAsia="宋体" w:cs="宋体"/>
                <w:szCs w:val="21"/>
              </w:rPr>
            </w:pPr>
            <w:r>
              <w:rPr>
                <w:rFonts w:hint="eastAsia" w:ascii="宋体" w:hAnsi="宋体" w:eastAsia="宋体" w:cs="宋体"/>
                <w:szCs w:val="21"/>
              </w:rPr>
              <w:t>其他第三方渠道</w:t>
            </w:r>
          </w:p>
        </w:tc>
        <w:tc>
          <w:tcPr>
            <w:tcW w:w="4545" w:type="dxa"/>
            <w:tcBorders>
              <w:top w:val="single" w:color="000000" w:sz="4" w:space="0"/>
              <w:left w:val="nil"/>
              <w:bottom w:val="single" w:color="000000" w:sz="4" w:space="0"/>
              <w:right w:val="single" w:color="000000" w:sz="4" w:space="0"/>
            </w:tcBorders>
            <w:vAlign w:val="center"/>
          </w:tcPr>
          <w:p w14:paraId="39276B3E">
            <w:pPr>
              <w:adjustRightInd w:val="0"/>
              <w:snapToGrid w:val="0"/>
              <w:jc w:val="center"/>
              <w:rPr>
                <w:rFonts w:ascii="宋体" w:hAnsi="宋体" w:eastAsia="宋体" w:cs="宋体"/>
                <w:szCs w:val="21"/>
              </w:rPr>
            </w:pPr>
            <w:r>
              <w:rPr>
                <w:rFonts w:hint="eastAsia" w:ascii="宋体" w:hAnsi="宋体" w:eastAsia="宋体" w:cs="宋体"/>
                <w:szCs w:val="21"/>
              </w:rPr>
              <w:t>[0.</w:t>
            </w:r>
            <w:r>
              <w:rPr>
                <w:rFonts w:hint="eastAsia" w:ascii="宋体" w:hAnsi="宋体" w:eastAsia="宋体" w:cs="宋体"/>
                <w:szCs w:val="21"/>
                <w:lang w:val="en-US" w:eastAsia="zh-CN"/>
              </w:rPr>
              <w:t>8</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w:t>
            </w:r>
          </w:p>
        </w:tc>
      </w:tr>
    </w:tbl>
    <w:p w14:paraId="15B42626">
      <w:pPr>
        <w:jc w:val="left"/>
        <w:rPr>
          <w:rFonts w:ascii="宋体" w:hAnsi="宋体" w:eastAsia="宋体" w:cs="宋体"/>
          <w:szCs w:val="21"/>
        </w:rPr>
      </w:pPr>
    </w:p>
    <w:p w14:paraId="2423E731">
      <w:pPr>
        <w:jc w:val="left"/>
        <w:rPr>
          <w:rFonts w:ascii="宋体" w:hAnsi="宋体" w:eastAsia="宋体" w:cs="宋体"/>
          <w:szCs w:val="21"/>
        </w:rPr>
      </w:pPr>
    </w:p>
    <w:p w14:paraId="796D216B">
      <w:pPr>
        <w:pStyle w:val="11"/>
        <w:ind w:firstLine="0" w:firstLineChars="0"/>
        <w:rPr>
          <w:rFonts w:ascii="宋体" w:hAnsi="宋体" w:eastAsia="宋体" w:cs="宋体"/>
          <w:b/>
          <w:szCs w:val="21"/>
        </w:rPr>
      </w:pPr>
    </w:p>
    <w:p w14:paraId="69E47113">
      <w:pPr>
        <w:pStyle w:val="11"/>
        <w:ind w:firstLine="0" w:firstLineChars="0"/>
        <w:rPr>
          <w:rFonts w:ascii="宋体" w:hAnsi="宋体" w:eastAsia="宋体" w:cs="宋体"/>
          <w:b/>
          <w:szCs w:val="21"/>
        </w:rPr>
      </w:pPr>
      <w:r>
        <w:rPr>
          <w:rFonts w:hint="eastAsia" w:ascii="宋体" w:hAnsi="宋体" w:eastAsia="宋体" w:cs="宋体"/>
          <w:b/>
          <w:szCs w:val="21"/>
        </w:rPr>
        <w:t>三、保险费计算公式</w:t>
      </w:r>
    </w:p>
    <w:p w14:paraId="1FB219BA">
      <w:pPr>
        <w:pStyle w:val="17"/>
        <w:ind w:firstLine="405"/>
        <w:rPr>
          <w:rFonts w:hint="default" w:ascii="宋体" w:hAnsi="宋体" w:eastAsia="宋体" w:cs="宋体"/>
          <w:color w:val="000000"/>
          <w:szCs w:val="21"/>
          <w:lang w:val="en-US" w:eastAsia="zh-CN"/>
        </w:rPr>
      </w:pPr>
      <w:r>
        <w:rPr>
          <w:rFonts w:hint="eastAsia" w:ascii="宋体" w:hAnsi="宋体" w:cs="宋体"/>
          <w:color w:val="000000"/>
          <w:szCs w:val="21"/>
        </w:rPr>
        <w:t>年保险费=保险金额×基准费率×</w:t>
      </w:r>
      <w:r>
        <w:rPr>
          <w:rFonts w:hint="eastAsia" w:ascii="宋体" w:hAnsi="宋体" w:cs="宋体"/>
          <w:color w:val="000000"/>
          <w:szCs w:val="21"/>
          <w:lang w:val="en-US" w:eastAsia="zh-CN"/>
        </w:rPr>
        <w:t>F1</w:t>
      </w:r>
      <w:r>
        <w:rPr>
          <w:rFonts w:hint="eastAsia" w:ascii="宋体" w:hAnsi="宋体" w:cs="宋体"/>
          <w:color w:val="000000"/>
          <w:szCs w:val="21"/>
        </w:rPr>
        <w:t>×</w:t>
      </w:r>
      <w:r>
        <w:rPr>
          <w:rFonts w:hint="eastAsia" w:ascii="宋体" w:hAnsi="宋体" w:cs="宋体"/>
          <w:color w:val="000000"/>
          <w:szCs w:val="21"/>
          <w:lang w:val="en-US" w:eastAsia="zh-CN"/>
        </w:rPr>
        <w:t>F2</w:t>
      </w:r>
      <w:r>
        <w:rPr>
          <w:rFonts w:hint="eastAsia" w:ascii="宋体" w:hAnsi="宋体" w:cs="宋体"/>
          <w:color w:val="000000"/>
          <w:szCs w:val="21"/>
        </w:rPr>
        <w:t>×</w:t>
      </w:r>
      <w:r>
        <w:rPr>
          <w:rFonts w:hint="eastAsia" w:ascii="宋体" w:hAnsi="宋体" w:cs="宋体"/>
          <w:color w:val="000000"/>
          <w:szCs w:val="21"/>
          <w:lang w:val="en-US" w:eastAsia="zh-CN"/>
        </w:rPr>
        <w:t>F3</w:t>
      </w:r>
      <w:r>
        <w:rPr>
          <w:rFonts w:hint="eastAsia" w:ascii="宋体" w:hAnsi="宋体" w:cs="宋体"/>
          <w:color w:val="000000"/>
          <w:szCs w:val="21"/>
        </w:rPr>
        <w:t>×</w:t>
      </w:r>
      <w:r>
        <w:rPr>
          <w:rFonts w:hint="eastAsia" w:ascii="宋体" w:hAnsi="宋体" w:cs="宋体"/>
          <w:color w:val="000000"/>
          <w:szCs w:val="21"/>
          <w:lang w:val="en-US" w:eastAsia="zh-CN"/>
        </w:rPr>
        <w:t>F4</w:t>
      </w:r>
      <w:r>
        <w:rPr>
          <w:rFonts w:hint="eastAsia" w:ascii="宋体" w:hAnsi="宋体" w:cs="宋体"/>
          <w:color w:val="000000"/>
          <w:szCs w:val="21"/>
        </w:rPr>
        <w:t>×</w:t>
      </w:r>
      <w:r>
        <w:rPr>
          <w:rFonts w:hint="eastAsia" w:ascii="宋体" w:hAnsi="宋体" w:cs="宋体"/>
          <w:color w:val="000000"/>
          <w:szCs w:val="21"/>
          <w:lang w:val="en-US" w:eastAsia="zh-CN"/>
        </w:rPr>
        <w:t>F5</w:t>
      </w:r>
      <w:r>
        <w:rPr>
          <w:rFonts w:hint="eastAsia" w:ascii="宋体" w:hAnsi="宋体" w:cs="宋体"/>
          <w:color w:val="000000"/>
          <w:szCs w:val="21"/>
        </w:rPr>
        <w:t>×</w:t>
      </w:r>
      <w:r>
        <w:rPr>
          <w:rFonts w:hint="eastAsia" w:ascii="宋体" w:hAnsi="宋体" w:cs="宋体"/>
          <w:color w:val="000000"/>
          <w:szCs w:val="21"/>
          <w:lang w:val="en-US" w:eastAsia="zh-CN"/>
        </w:rPr>
        <w:t>F6</w:t>
      </w:r>
      <w:r>
        <w:rPr>
          <w:rFonts w:hint="eastAsia" w:ascii="宋体" w:hAnsi="宋体" w:cs="宋体"/>
          <w:color w:val="000000"/>
          <w:szCs w:val="21"/>
        </w:rPr>
        <w:t>×</w:t>
      </w:r>
      <w:r>
        <w:rPr>
          <w:rFonts w:hint="eastAsia" w:ascii="宋体" w:hAnsi="宋体" w:cs="宋体"/>
          <w:color w:val="000000"/>
          <w:szCs w:val="21"/>
          <w:lang w:val="en-US" w:eastAsia="zh-CN"/>
        </w:rPr>
        <w:t>F7</w:t>
      </w:r>
    </w:p>
    <w:p w14:paraId="1B447F2A">
      <w:pPr>
        <w:snapToGrid w:val="0"/>
        <w:spacing w:line="288" w:lineRule="auto"/>
        <w:rPr>
          <w:rFonts w:hint="eastAsia" w:ascii="宋体" w:hAnsi="宋体" w:eastAsia="宋体" w:cs="Times New Roman"/>
          <w:b/>
          <w:kern w:val="0"/>
        </w:rPr>
      </w:pPr>
    </w:p>
    <w:p w14:paraId="3C1DF3C2">
      <w:pPr>
        <w:snapToGrid w:val="0"/>
        <w:spacing w:line="288" w:lineRule="auto"/>
        <w:rPr>
          <w:rFonts w:ascii="宋体" w:hAnsi="宋体" w:eastAsia="宋体" w:cs="Times New Roman"/>
          <w:b/>
          <w:kern w:val="0"/>
        </w:rPr>
      </w:pPr>
      <w:r>
        <w:rPr>
          <w:rFonts w:hint="eastAsia" w:ascii="宋体" w:hAnsi="宋体" w:eastAsia="宋体" w:cs="Times New Roman"/>
          <w:b/>
          <w:kern w:val="0"/>
        </w:rPr>
        <w:t>四、短期费率表</w:t>
      </w:r>
    </w:p>
    <w:p w14:paraId="4ACB256A">
      <w:pPr>
        <w:snapToGrid w:val="0"/>
        <w:spacing w:line="288" w:lineRule="auto"/>
        <w:ind w:firstLine="0"/>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w:t>
      </w:r>
    </w:p>
    <w:tbl>
      <w:tblPr>
        <w:tblStyle w:val="6"/>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14:paraId="6BB93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14:paraId="64C92339">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14:paraId="768F5E56">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14:paraId="6B27FE37">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14:paraId="2648285A">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14:paraId="153F64CD">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14:paraId="34EB39CC">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14:paraId="373CAC27">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14:paraId="273D946A">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14:paraId="0D7F7A49">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14:paraId="602577D9">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14:paraId="0F76802B">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14:paraId="3D40FEC6">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14:paraId="251B1F2A">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14:paraId="61C8F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14:paraId="08C7F421">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14:paraId="1A53DCBD">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14:paraId="3B8A7CF3">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14:paraId="18DBCAFC">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14:paraId="4AAFE1F1">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14:paraId="7AF8CBDD">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14:paraId="7E4CD4CD">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14:paraId="399BF98C">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14:paraId="77FB9B48">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14:paraId="730E11FF">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14:paraId="513260B2">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14:paraId="6F18AE50">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14:paraId="29E58B0D">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14:paraId="0B6D2152">
      <w:pPr>
        <w:snapToGrid w:val="0"/>
        <w:spacing w:after="156" w:afterLines="50"/>
        <w:ind w:firstLine="0" w:firstLineChars="0"/>
        <w:rPr>
          <w:rFonts w:ascii="宋体"/>
          <w:bCs/>
          <w:szCs w:val="21"/>
        </w:rPr>
      </w:pPr>
      <w:r>
        <w:rPr>
          <w:rFonts w:hint="eastAsia" w:ascii="宋体"/>
          <w:szCs w:val="21"/>
          <w:lang w:eastAsia="zh-CN"/>
        </w:rPr>
        <w:t>（</w:t>
      </w:r>
      <w:r>
        <w:rPr>
          <w:rFonts w:hint="eastAsia" w:ascii="宋体"/>
          <w:szCs w:val="21"/>
          <w:lang w:val="en-US" w:eastAsia="zh-CN"/>
        </w:rPr>
        <w:t>一</w:t>
      </w:r>
      <w:r>
        <w:rPr>
          <w:rFonts w:hint="eastAsia" w:ascii="宋体"/>
          <w:szCs w:val="21"/>
          <w:lang w:eastAsia="zh-CN"/>
        </w:rPr>
        <w:t>）</w:t>
      </w:r>
      <w:r>
        <w:rPr>
          <w:rFonts w:hint="eastAsia" w:ascii="宋体"/>
          <w:szCs w:val="21"/>
        </w:rPr>
        <w:t>保险期间在</w:t>
      </w:r>
      <w:r>
        <w:rPr>
          <w:rFonts w:ascii="宋体"/>
          <w:szCs w:val="21"/>
        </w:rPr>
        <w:t>1</w:t>
      </w:r>
      <w:r>
        <w:rPr>
          <w:rFonts w:hint="eastAsia" w:ascii="宋体"/>
          <w:szCs w:val="21"/>
        </w:rPr>
        <w:t>个月以上，不足</w:t>
      </w:r>
      <w:r>
        <w:rPr>
          <w:rFonts w:ascii="宋体"/>
          <w:szCs w:val="21"/>
        </w:rPr>
        <w:t>2</w:t>
      </w:r>
      <w:r>
        <w:rPr>
          <w:rFonts w:hint="eastAsia" w:ascii="宋体"/>
          <w:szCs w:val="21"/>
        </w:rPr>
        <w:t>个月的，按</w:t>
      </w:r>
      <w:r>
        <w:rPr>
          <w:rFonts w:ascii="宋体"/>
          <w:szCs w:val="21"/>
        </w:rPr>
        <w:t>2</w:t>
      </w:r>
      <w:r>
        <w:rPr>
          <w:rFonts w:hint="eastAsia" w:ascii="宋体"/>
          <w:szCs w:val="21"/>
        </w:rPr>
        <w:t>个月计算；保险期间在</w:t>
      </w:r>
      <w:r>
        <w:rPr>
          <w:rFonts w:ascii="宋体"/>
          <w:szCs w:val="21"/>
        </w:rPr>
        <w:t>2</w:t>
      </w:r>
      <w:r>
        <w:rPr>
          <w:rFonts w:hint="eastAsia" w:ascii="宋体"/>
          <w:szCs w:val="21"/>
        </w:rPr>
        <w:t>个月以上，不足</w:t>
      </w:r>
      <w:r>
        <w:rPr>
          <w:rFonts w:ascii="宋体"/>
          <w:szCs w:val="21"/>
        </w:rPr>
        <w:t>3</w:t>
      </w:r>
      <w:r>
        <w:rPr>
          <w:rFonts w:hint="eastAsia" w:ascii="宋体"/>
          <w:szCs w:val="21"/>
        </w:rPr>
        <w:t>个月的，按</w:t>
      </w:r>
      <w:r>
        <w:rPr>
          <w:rFonts w:ascii="宋体"/>
          <w:szCs w:val="21"/>
        </w:rPr>
        <w:t>3</w:t>
      </w:r>
      <w:r>
        <w:rPr>
          <w:rFonts w:hint="eastAsia" w:ascii="宋体"/>
          <w:szCs w:val="21"/>
        </w:rPr>
        <w:t>个月计算，依此类推；</w:t>
      </w:r>
    </w:p>
    <w:p w14:paraId="34937E00">
      <w:pPr>
        <w:numPr>
          <w:ilvl w:val="-1"/>
          <w:numId w:val="0"/>
        </w:numPr>
        <w:snapToGrid w:val="0"/>
        <w:spacing w:after="0" w:afterLines="0"/>
        <w:ind w:firstLine="0" w:firstLineChars="0"/>
        <w:rPr>
          <w:rFonts w:hint="default" w:ascii="宋体" w:eastAsiaTheme="minorEastAsia"/>
          <w:szCs w:val="21"/>
          <w:lang w:val="en-US" w:eastAsia="zh-CN"/>
        </w:rPr>
      </w:pPr>
      <w:r>
        <w:rPr>
          <w:rFonts w:hint="eastAsia" w:ascii="宋体"/>
          <w:szCs w:val="21"/>
          <w:lang w:eastAsia="zh-CN"/>
        </w:rPr>
        <w:t>（</w:t>
      </w:r>
      <w:r>
        <w:rPr>
          <w:rFonts w:hint="eastAsia" w:ascii="宋体"/>
          <w:szCs w:val="21"/>
          <w:lang w:val="en-US" w:eastAsia="zh-CN"/>
        </w:rPr>
        <w:t>二</w:t>
      </w:r>
      <w:r>
        <w:rPr>
          <w:rFonts w:hint="eastAsia" w:ascii="宋体"/>
          <w:szCs w:val="21"/>
          <w:lang w:eastAsia="zh-CN"/>
        </w:rPr>
        <w:t>）</w:t>
      </w:r>
      <w:r>
        <w:rPr>
          <w:rFonts w:hint="eastAsia" w:ascii="宋体"/>
          <w:szCs w:val="21"/>
        </w:rPr>
        <w:t>保险期间不足</w:t>
      </w:r>
      <w:r>
        <w:rPr>
          <w:rFonts w:hint="eastAsia" w:ascii="宋体"/>
          <w:szCs w:val="21"/>
          <w:lang w:val="en-US" w:eastAsia="zh-CN"/>
        </w:rPr>
        <w:t>1</w:t>
      </w:r>
      <w:r>
        <w:rPr>
          <w:rFonts w:hint="eastAsia" w:ascii="宋体"/>
          <w:szCs w:val="21"/>
        </w:rPr>
        <w:t>个月，短期保险费=年保险费×</w:t>
      </w:r>
      <w:r>
        <w:rPr>
          <w:rFonts w:hint="eastAsia" w:ascii="宋体"/>
          <w:szCs w:val="21"/>
          <w:lang w:val="en-US" w:eastAsia="zh-CN"/>
        </w:rPr>
        <w:t>极</w:t>
      </w:r>
      <w:r>
        <w:rPr>
          <w:rFonts w:hint="eastAsia" w:ascii="宋体"/>
          <w:szCs w:val="21"/>
        </w:rPr>
        <w:t>短期费率</w:t>
      </w:r>
      <w:r>
        <w:rPr>
          <w:rFonts w:hint="eastAsia" w:ascii="宋体"/>
          <w:szCs w:val="21"/>
          <w:lang w:eastAsia="zh-CN"/>
        </w:rPr>
        <w:t>，</w:t>
      </w:r>
      <w:r>
        <w:rPr>
          <w:rFonts w:hint="eastAsia" w:ascii="宋体"/>
          <w:szCs w:val="21"/>
          <w:lang w:val="en-US" w:eastAsia="zh-CN"/>
        </w:rPr>
        <w:t>极</w:t>
      </w:r>
      <w:r>
        <w:rPr>
          <w:rFonts w:hint="eastAsia" w:ascii="宋体"/>
          <w:szCs w:val="21"/>
        </w:rPr>
        <w:t>短期费率</w:t>
      </w:r>
      <w:r>
        <w:rPr>
          <w:rFonts w:hint="eastAsia" w:ascii="宋体"/>
          <w:szCs w:val="21"/>
          <w:lang w:val="en-US" w:eastAsia="zh-CN"/>
        </w:rPr>
        <w:t>如下：</w:t>
      </w:r>
    </w:p>
    <w:tbl>
      <w:tblPr>
        <w:tblStyle w:val="6"/>
        <w:tblpPr w:leftFromText="180" w:rightFromText="180" w:vertAnchor="text" w:horzAnchor="page" w:tblpX="1230" w:tblpY="143"/>
        <w:tblW w:w="948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2170"/>
        <w:gridCol w:w="1666"/>
        <w:gridCol w:w="1709"/>
        <w:gridCol w:w="1764"/>
        <w:gridCol w:w="2175"/>
      </w:tblGrid>
      <w:tr w14:paraId="3EE70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54" w:hRule="atLeast"/>
        </w:trPr>
        <w:tc>
          <w:tcPr>
            <w:tcW w:w="21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2234325A">
            <w:pPr>
              <w:spacing w:line="288" w:lineRule="auto"/>
              <w:jc w:val="center"/>
              <w:rPr>
                <w:rFonts w:ascii="宋体" w:hAnsi="宋体" w:eastAsia="宋体" w:cs="Times New Roman"/>
                <w:kern w:val="0"/>
                <w:szCs w:val="22"/>
              </w:rPr>
            </w:pPr>
            <w:r>
              <w:rPr>
                <w:rFonts w:hint="eastAsia" w:ascii="宋体" w:hAnsi="宋体" w:eastAsia="宋体" w:cs="Times New Roman"/>
                <w:kern w:val="0"/>
                <w:szCs w:val="22"/>
              </w:rPr>
              <w:t>保险期间（天）</w:t>
            </w:r>
          </w:p>
        </w:tc>
        <w:tc>
          <w:tcPr>
            <w:tcW w:w="16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431710AB">
            <w:pPr>
              <w:spacing w:line="288" w:lineRule="auto"/>
              <w:jc w:val="center"/>
              <w:rPr>
                <w:rFonts w:ascii="宋体" w:hAnsi="宋体" w:eastAsia="宋体" w:cs="Times New Roman"/>
                <w:kern w:val="0"/>
                <w:szCs w:val="22"/>
              </w:rPr>
            </w:pPr>
            <w:r>
              <w:rPr>
                <w:rFonts w:ascii="宋体" w:hAnsi="宋体" w:eastAsia="宋体" w:cs="Times New Roman"/>
                <w:kern w:val="0"/>
                <w:szCs w:val="22"/>
              </w:rPr>
              <w:t>1</w:t>
            </w:r>
          </w:p>
        </w:tc>
        <w:tc>
          <w:tcPr>
            <w:tcW w:w="17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57E904D7">
            <w:pPr>
              <w:spacing w:line="288" w:lineRule="auto"/>
              <w:jc w:val="center"/>
              <w:rPr>
                <w:rFonts w:ascii="宋体" w:hAnsi="宋体" w:eastAsia="宋体" w:cs="Times New Roman"/>
                <w:kern w:val="0"/>
                <w:szCs w:val="22"/>
              </w:rPr>
            </w:pPr>
            <w:r>
              <w:rPr>
                <w:rFonts w:ascii="宋体" w:hAnsi="宋体" w:eastAsia="宋体" w:cs="Times New Roman"/>
                <w:kern w:val="0"/>
                <w:szCs w:val="22"/>
              </w:rPr>
              <w:t>2-7</w:t>
            </w:r>
          </w:p>
        </w:tc>
        <w:tc>
          <w:tcPr>
            <w:tcW w:w="17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768DA954">
            <w:pPr>
              <w:spacing w:line="288" w:lineRule="auto"/>
              <w:jc w:val="center"/>
              <w:rPr>
                <w:rFonts w:ascii="宋体" w:hAnsi="宋体" w:eastAsia="宋体" w:cs="Times New Roman"/>
                <w:kern w:val="0"/>
                <w:szCs w:val="22"/>
              </w:rPr>
            </w:pPr>
            <w:r>
              <w:rPr>
                <w:rFonts w:ascii="宋体" w:hAnsi="宋体" w:eastAsia="宋体" w:cs="Times New Roman"/>
                <w:kern w:val="0"/>
                <w:szCs w:val="22"/>
              </w:rPr>
              <w:t>8-15</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6057EC56">
            <w:pPr>
              <w:spacing w:line="288" w:lineRule="auto"/>
              <w:jc w:val="center"/>
              <w:rPr>
                <w:rFonts w:ascii="宋体" w:hAnsi="宋体" w:eastAsia="宋体" w:cs="Times New Roman"/>
                <w:kern w:val="0"/>
                <w:szCs w:val="22"/>
              </w:rPr>
            </w:pPr>
            <w:r>
              <w:rPr>
                <w:rFonts w:ascii="宋体" w:hAnsi="宋体" w:eastAsia="宋体" w:cs="Times New Roman"/>
                <w:kern w:val="0"/>
                <w:szCs w:val="22"/>
              </w:rPr>
              <w:t>16-31</w:t>
            </w:r>
          </w:p>
        </w:tc>
      </w:tr>
      <w:tr w14:paraId="74BEA6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0" w:type="dxa"/>
            <w:bottom w:w="0" w:type="dxa"/>
            <w:right w:w="0" w:type="dxa"/>
          </w:tblCellMar>
        </w:tblPrEx>
        <w:trPr>
          <w:trHeight w:val="568" w:hRule="atLeast"/>
        </w:trPr>
        <w:tc>
          <w:tcPr>
            <w:tcW w:w="21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156B64E3">
            <w:pPr>
              <w:spacing w:line="288" w:lineRule="auto"/>
              <w:jc w:val="center"/>
              <w:rPr>
                <w:rFonts w:ascii="宋体" w:hAnsi="宋体" w:eastAsia="宋体" w:cs="Times New Roman"/>
                <w:kern w:val="0"/>
                <w:szCs w:val="22"/>
              </w:rPr>
            </w:pPr>
            <w:r>
              <w:rPr>
                <w:rFonts w:hint="eastAsia" w:ascii="宋体" w:hAnsi="宋体" w:eastAsia="宋体" w:cs="Times New Roman"/>
                <w:kern w:val="0"/>
                <w:szCs w:val="22"/>
                <w:lang w:val="en-US" w:eastAsia="zh-CN"/>
              </w:rPr>
              <w:t>极</w:t>
            </w:r>
            <w:r>
              <w:rPr>
                <w:rFonts w:hint="eastAsia" w:ascii="宋体" w:hAnsi="宋体" w:eastAsia="宋体" w:cs="Times New Roman"/>
                <w:kern w:val="0"/>
                <w:szCs w:val="22"/>
              </w:rPr>
              <w:t>短期费率（</w:t>
            </w:r>
            <w:r>
              <w:rPr>
                <w:rFonts w:ascii="宋体" w:hAnsi="宋体" w:eastAsia="宋体" w:cs="Times New Roman"/>
                <w:kern w:val="0"/>
                <w:szCs w:val="22"/>
              </w:rPr>
              <w:t>%）</w:t>
            </w:r>
          </w:p>
        </w:tc>
        <w:tc>
          <w:tcPr>
            <w:tcW w:w="16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76684663">
            <w:pPr>
              <w:spacing w:line="288" w:lineRule="auto"/>
              <w:jc w:val="center"/>
              <w:rPr>
                <w:rFonts w:ascii="宋体" w:hAnsi="宋体" w:eastAsia="宋体" w:cs="Times New Roman"/>
                <w:kern w:val="0"/>
                <w:szCs w:val="22"/>
              </w:rPr>
            </w:pPr>
            <w:r>
              <w:rPr>
                <w:rFonts w:ascii="宋体" w:hAnsi="宋体" w:eastAsia="宋体" w:cs="Times New Roman"/>
                <w:kern w:val="0"/>
                <w:szCs w:val="22"/>
              </w:rPr>
              <w:t>5</w:t>
            </w:r>
          </w:p>
        </w:tc>
        <w:tc>
          <w:tcPr>
            <w:tcW w:w="170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43C95727">
            <w:pPr>
              <w:spacing w:line="288" w:lineRule="auto"/>
              <w:jc w:val="center"/>
              <w:rPr>
                <w:rFonts w:ascii="宋体" w:hAnsi="宋体" w:eastAsia="宋体" w:cs="Times New Roman"/>
                <w:kern w:val="0"/>
                <w:szCs w:val="22"/>
              </w:rPr>
            </w:pPr>
            <w:r>
              <w:rPr>
                <w:rFonts w:hint="eastAsia" w:ascii="宋体" w:hAnsi="宋体" w:eastAsia="宋体" w:cs="Times New Roman"/>
                <w:kern w:val="0"/>
                <w:szCs w:val="22"/>
              </w:rPr>
              <w:t>7</w:t>
            </w:r>
          </w:p>
        </w:tc>
        <w:tc>
          <w:tcPr>
            <w:tcW w:w="176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3DECAACD">
            <w:pPr>
              <w:spacing w:line="288" w:lineRule="auto"/>
              <w:jc w:val="center"/>
              <w:rPr>
                <w:rFonts w:ascii="宋体" w:hAnsi="宋体" w:eastAsia="宋体" w:cs="Times New Roman"/>
                <w:kern w:val="0"/>
                <w:szCs w:val="22"/>
              </w:rPr>
            </w:pPr>
            <w:r>
              <w:rPr>
                <w:rFonts w:hint="eastAsia" w:ascii="宋体" w:hAnsi="宋体" w:eastAsia="宋体" w:cs="Times New Roman"/>
                <w:kern w:val="0"/>
                <w:szCs w:val="22"/>
              </w:rPr>
              <w:t>8</w:t>
            </w:r>
          </w:p>
        </w:tc>
        <w:tc>
          <w:tcPr>
            <w:tcW w:w="21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15" w:type="dxa"/>
              <w:right w:w="15" w:type="dxa"/>
            </w:tcMar>
            <w:vAlign w:val="center"/>
          </w:tcPr>
          <w:p w14:paraId="22181F85">
            <w:pPr>
              <w:spacing w:line="288" w:lineRule="auto"/>
              <w:jc w:val="center"/>
              <w:rPr>
                <w:rFonts w:ascii="宋体" w:hAnsi="宋体" w:eastAsia="宋体" w:cs="Times New Roman"/>
                <w:kern w:val="0"/>
                <w:szCs w:val="22"/>
              </w:rPr>
            </w:pPr>
            <w:r>
              <w:rPr>
                <w:rFonts w:hint="eastAsia" w:ascii="宋体" w:hAnsi="宋体" w:eastAsia="宋体" w:cs="Times New Roman"/>
                <w:kern w:val="0"/>
                <w:szCs w:val="22"/>
              </w:rPr>
              <w:t>1</w:t>
            </w:r>
            <w:r>
              <w:rPr>
                <w:rFonts w:ascii="宋体" w:hAnsi="宋体" w:eastAsia="宋体" w:cs="Times New Roman"/>
                <w:kern w:val="0"/>
                <w:szCs w:val="22"/>
              </w:rPr>
              <w:t>0</w:t>
            </w:r>
          </w:p>
        </w:tc>
      </w:tr>
    </w:tbl>
    <w:p w14:paraId="3F8A7E0B">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不足1天的按1天计算。</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072F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0364C8">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20364C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1D4213"/>
    <w:multiLevelType w:val="singleLevel"/>
    <w:tmpl w:val="2C1D421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172A27"/>
    <w:rsid w:val="00170721"/>
    <w:rsid w:val="00172A27"/>
    <w:rsid w:val="00237458"/>
    <w:rsid w:val="002C139E"/>
    <w:rsid w:val="00320D82"/>
    <w:rsid w:val="00396253"/>
    <w:rsid w:val="00411167"/>
    <w:rsid w:val="004C0D5B"/>
    <w:rsid w:val="00645196"/>
    <w:rsid w:val="006C5421"/>
    <w:rsid w:val="007449D2"/>
    <w:rsid w:val="008D1162"/>
    <w:rsid w:val="009B66B5"/>
    <w:rsid w:val="00AA3CE6"/>
    <w:rsid w:val="00BD0B2A"/>
    <w:rsid w:val="00BD71DC"/>
    <w:rsid w:val="09F45FD8"/>
    <w:rsid w:val="0EDE4BF3"/>
    <w:rsid w:val="152252D7"/>
    <w:rsid w:val="1C2838BF"/>
    <w:rsid w:val="1FD04999"/>
    <w:rsid w:val="21B26104"/>
    <w:rsid w:val="22B934C3"/>
    <w:rsid w:val="22CE6A16"/>
    <w:rsid w:val="297B5976"/>
    <w:rsid w:val="2EB24CEB"/>
    <w:rsid w:val="311A40E8"/>
    <w:rsid w:val="34F024C0"/>
    <w:rsid w:val="36165A50"/>
    <w:rsid w:val="388C7258"/>
    <w:rsid w:val="39E067A6"/>
    <w:rsid w:val="39FB345B"/>
    <w:rsid w:val="3D391126"/>
    <w:rsid w:val="3F4A39C9"/>
    <w:rsid w:val="417E5BAB"/>
    <w:rsid w:val="429531AD"/>
    <w:rsid w:val="46B57BDF"/>
    <w:rsid w:val="471D3CA9"/>
    <w:rsid w:val="49025314"/>
    <w:rsid w:val="493C4382"/>
    <w:rsid w:val="4EE9667E"/>
    <w:rsid w:val="53FA23CC"/>
    <w:rsid w:val="53FD6E04"/>
    <w:rsid w:val="5D5F468B"/>
    <w:rsid w:val="6A415844"/>
    <w:rsid w:val="6A6F3F60"/>
    <w:rsid w:val="6C9C6D62"/>
    <w:rsid w:val="6CB97D9A"/>
    <w:rsid w:val="6CE16E6B"/>
    <w:rsid w:val="726A16B0"/>
    <w:rsid w:val="73013DC3"/>
    <w:rsid w:val="7A5B0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3"/>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4"/>
    <w:autoRedefine/>
    <w:qFormat/>
    <w:uiPriority w:val="0"/>
    <w:rPr>
      <w:b/>
      <w:bCs/>
    </w:rPr>
  </w:style>
  <w:style w:type="table" w:styleId="7">
    <w:name w:val="Table Grid"/>
    <w:basedOn w:val="6"/>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autoRedefine/>
    <w:qFormat/>
    <w:uiPriority w:val="0"/>
    <w:rPr>
      <w:sz w:val="21"/>
      <w:szCs w:val="21"/>
    </w:rPr>
  </w:style>
  <w:style w:type="paragraph" w:customStyle="1" w:styleId="10">
    <w:name w:val="无间隔1"/>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1">
    <w:name w:val="列表段落1"/>
    <w:basedOn w:val="1"/>
    <w:autoRedefine/>
    <w:qFormat/>
    <w:uiPriority w:val="34"/>
    <w:pPr>
      <w:ind w:firstLine="420" w:firstLineChars="200"/>
    </w:pPr>
  </w:style>
  <w:style w:type="paragraph" w:customStyle="1" w:styleId="12">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3">
    <w:name w:val="批注文字 字符"/>
    <w:basedOn w:val="8"/>
    <w:link w:val="2"/>
    <w:autoRedefine/>
    <w:qFormat/>
    <w:uiPriority w:val="0"/>
    <w:rPr>
      <w:kern w:val="2"/>
      <w:sz w:val="21"/>
      <w:szCs w:val="24"/>
    </w:rPr>
  </w:style>
  <w:style w:type="character" w:customStyle="1" w:styleId="14">
    <w:name w:val="批注主题 字符"/>
    <w:basedOn w:val="13"/>
    <w:link w:val="5"/>
    <w:autoRedefine/>
    <w:qFormat/>
    <w:uiPriority w:val="0"/>
    <w:rPr>
      <w:b/>
      <w:bCs/>
      <w:kern w:val="2"/>
      <w:sz w:val="21"/>
      <w:szCs w:val="24"/>
    </w:rPr>
  </w:style>
  <w:style w:type="character" w:customStyle="1" w:styleId="15">
    <w:name w:val="页眉 字符"/>
    <w:basedOn w:val="8"/>
    <w:link w:val="4"/>
    <w:autoRedefine/>
    <w:qFormat/>
    <w:uiPriority w:val="0"/>
    <w:rPr>
      <w:kern w:val="2"/>
      <w:sz w:val="18"/>
      <w:szCs w:val="18"/>
    </w:rPr>
  </w:style>
  <w:style w:type="paragraph" w:customStyle="1" w:styleId="16">
    <w:name w:val="Revision"/>
    <w:autoRedefine/>
    <w:hidden/>
    <w:semiHidden/>
    <w:qFormat/>
    <w:uiPriority w:val="99"/>
    <w:rPr>
      <w:rFonts w:asciiTheme="minorHAnsi" w:hAnsiTheme="minorHAnsi" w:eastAsiaTheme="minorEastAsia" w:cstheme="minorBidi"/>
      <w:kern w:val="2"/>
      <w:sz w:val="21"/>
      <w:szCs w:val="24"/>
      <w:lang w:val="en-US" w:eastAsia="zh-CN" w:bidi="ar-SA"/>
    </w:rPr>
  </w:style>
  <w:style w:type="paragraph" w:styleId="17">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character" w:customStyle="1" w:styleId="18">
    <w:name w:val="font21"/>
    <w:basedOn w:val="8"/>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3</Pages>
  <Words>1453</Words>
  <Characters>2302</Characters>
  <Lines>13</Lines>
  <Paragraphs>3</Paragraphs>
  <TotalTime>7</TotalTime>
  <ScaleCrop>false</ScaleCrop>
  <LinksUpToDate>false</LinksUpToDate>
  <CharactersWithSpaces>2311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流萤</cp:lastModifiedBy>
  <dcterms:modified xsi:type="dcterms:W3CDTF">2024-06-21T01:42:05Z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08CC2AAAAC5648E38310F51D472CFC68_13</vt:lpwstr>
  </property>
</Properties>
</file>