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5AFCF">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eastAsia" w:ascii="宋体" w:hAnsi="宋体" w:eastAsia="宋体" w:cs="宋体"/>
          <w:b/>
          <w:bCs/>
          <w:sz w:val="28"/>
          <w:szCs w:val="28"/>
          <w:lang w:val="en-US" w:eastAsia="zh-CN"/>
        </w:rPr>
      </w:pPr>
      <w:bookmarkStart w:id="6" w:name="_GoBack"/>
      <w:bookmarkEnd w:id="6"/>
      <w:r>
        <w:rPr>
          <w:rFonts w:hint="eastAsia" w:ascii="宋体" w:hAnsi="宋体" w:eastAsia="宋体" w:cs="宋体"/>
          <w:b/>
          <w:bCs/>
          <w:sz w:val="28"/>
          <w:szCs w:val="28"/>
          <w:lang w:val="en-US" w:eastAsia="zh-CN"/>
        </w:rPr>
        <w:t>华农财险四川省成都市新津区地方财政补贴性农村居民住房保险</w:t>
      </w:r>
    </w:p>
    <w:p w14:paraId="2D71FA14">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附加民用燃气意外伤害保险费率表</w:t>
      </w:r>
    </w:p>
    <w:p w14:paraId="6A3696FB">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一、基准费率</w:t>
      </w:r>
    </w:p>
    <w:p w14:paraId="60D7B3FE">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（一）意外伤害身故/伤残：0.0006%</w:t>
      </w:r>
    </w:p>
    <w:p w14:paraId="18B6E6B8">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（二）意外伤害医疗：</w:t>
      </w:r>
    </w:p>
    <w:p w14:paraId="75F93836">
      <w:pPr>
        <w:numPr>
          <w:ilvl w:val="0"/>
          <w:numId w:val="0"/>
        </w:numPr>
        <w:adjustRightInd w:val="0"/>
        <w:snapToGrid w:val="0"/>
        <w:spacing w:beforeLines="0" w:after="0" w:afterLines="0" w:line="240" w:lineRule="auto"/>
        <w:rPr>
          <w:rFonts w:hint="default" w:ascii="宋体" w:hAnsi="宋体" w:eastAsia="宋体" w:cs="宋体"/>
          <w:b w:val="0"/>
          <w:bCs w:val="0"/>
          <w:sz w:val="21"/>
          <w:szCs w:val="21"/>
          <w:lang w:val="en-US" w:eastAsia="zh-CN"/>
        </w:rPr>
      </w:pPr>
      <w:r>
        <w:rPr>
          <w:rFonts w:hint="default" w:ascii="宋体" w:hAnsi="宋体" w:eastAsia="宋体" w:cs="宋体"/>
          <w:b w:val="0"/>
          <w:bCs w:val="0"/>
          <w:kern w:val="2"/>
          <w:sz w:val="21"/>
          <w:szCs w:val="21"/>
          <w:lang w:val="en-US" w:eastAsia="zh-CN" w:bidi="ar-SA"/>
        </w:rPr>
        <w:t>1、</w:t>
      </w:r>
      <w:r>
        <w:rPr>
          <w:rFonts w:hint="eastAsia" w:ascii="宋体" w:hAnsi="宋体" w:eastAsia="宋体" w:cs="宋体"/>
          <w:szCs w:val="21"/>
          <w:lang w:val="en-US" w:eastAsia="zh-CN"/>
        </w:rPr>
        <w:t>意外伤害医疗保险金</w:t>
      </w:r>
      <w:r>
        <w:rPr>
          <w:rFonts w:hint="eastAsia" w:ascii="宋体" w:hAnsi="宋体" w:eastAsia="宋体" w:cs="宋体"/>
          <w:b w:val="0"/>
          <w:bCs w:val="0"/>
          <w:sz w:val="21"/>
          <w:szCs w:val="21"/>
          <w:lang w:val="en-US" w:eastAsia="zh-CN"/>
        </w:rPr>
        <w:t>免赔额：100元</w:t>
      </w:r>
    </w:p>
    <w:p w14:paraId="1B1C8523">
      <w:pPr>
        <w:numPr>
          <w:ilvl w:val="0"/>
          <w:numId w:val="0"/>
        </w:numPr>
        <w:adjustRightInd w:val="0"/>
        <w:snapToGrid w:val="0"/>
        <w:spacing w:beforeLines="0" w:after="0" w:afterLines="0" w:line="240" w:lineRule="auto"/>
        <w:rPr>
          <w:rFonts w:hint="eastAsia" w:ascii="宋体" w:hAnsi="宋体" w:eastAsia="宋体" w:cs="宋体"/>
          <w:b w:val="0"/>
          <w:bCs w:val="0"/>
          <w:sz w:val="21"/>
          <w:szCs w:val="21"/>
          <w:lang w:val="en-US" w:eastAsia="zh-CN"/>
        </w:rPr>
      </w:pPr>
      <w:r>
        <w:rPr>
          <w:rFonts w:hint="default" w:ascii="宋体" w:hAnsi="宋体" w:eastAsia="宋体" w:cs="宋体"/>
          <w:b w:val="0"/>
          <w:bCs w:val="0"/>
          <w:kern w:val="2"/>
          <w:sz w:val="21"/>
          <w:szCs w:val="21"/>
          <w:lang w:val="en-US" w:eastAsia="zh-CN" w:bidi="ar-SA"/>
        </w:rPr>
        <w:t>2、</w:t>
      </w:r>
      <w:r>
        <w:rPr>
          <w:rFonts w:hint="eastAsia" w:ascii="宋体" w:hAnsi="宋体" w:eastAsia="宋体" w:cs="宋体"/>
          <w:b w:val="0"/>
          <w:bCs w:val="0"/>
          <w:sz w:val="21"/>
          <w:szCs w:val="21"/>
          <w:lang w:val="en-US" w:eastAsia="zh-CN"/>
        </w:rPr>
        <w:t>赔付比例：</w:t>
      </w:r>
    </w:p>
    <w:p w14:paraId="7A94CA94">
      <w:pPr>
        <w:keepNext w:val="0"/>
        <w:keepLines w:val="0"/>
        <w:widowControl/>
        <w:suppressLineNumbers w:val="0"/>
        <w:adjustRightInd w:val="0"/>
        <w:snapToGrid w:val="0"/>
        <w:spacing w:beforeLines="0" w:afterLines="0"/>
        <w:jc w:val="left"/>
        <w:textAlignment w:val="center"/>
        <w:rPr>
          <w:rFonts w:hint="eastAsia" w:ascii="宋体" w:hAnsi="宋体" w:eastAsia="宋体" w:cs="宋体"/>
          <w:i w:val="0"/>
          <w:iCs w:val="0"/>
          <w:color w:val="000000"/>
          <w:kern w:val="0"/>
          <w:sz w:val="21"/>
          <w:szCs w:val="21"/>
          <w:u w:val="none"/>
          <w:lang w:val="en-US" w:eastAsia="zh-CN" w:bidi="ar"/>
        </w:rPr>
      </w:pPr>
      <w:bookmarkStart w:id="0" w:name="OLE_LINK30"/>
      <w:r>
        <w:rPr>
          <w:rFonts w:hint="eastAsia" w:ascii="宋体" w:hAnsi="宋体" w:eastAsia="宋体" w:cs="宋体"/>
          <w:b w:val="0"/>
          <w:bCs w:val="0"/>
          <w:sz w:val="21"/>
          <w:szCs w:val="21"/>
          <w:lang w:val="en-US" w:eastAsia="zh-CN"/>
        </w:rPr>
        <w:t>（1）</w:t>
      </w:r>
      <w:bookmarkStart w:id="1" w:name="OLE_LINK31"/>
      <w:bookmarkStart w:id="2" w:name="OLE_LINK32"/>
      <w:r>
        <w:rPr>
          <w:rFonts w:hint="eastAsia" w:ascii="宋体" w:hAnsi="宋体" w:eastAsia="宋体" w:cs="宋体"/>
          <w:i w:val="0"/>
          <w:iCs w:val="0"/>
          <w:color w:val="000000"/>
          <w:kern w:val="0"/>
          <w:sz w:val="21"/>
          <w:szCs w:val="21"/>
          <w:u w:val="none"/>
          <w:lang w:val="en-US" w:eastAsia="zh-CN" w:bidi="ar"/>
        </w:rPr>
        <w:t>被</w:t>
      </w:r>
      <w:bookmarkEnd w:id="1"/>
      <w:r>
        <w:rPr>
          <w:rFonts w:hint="eastAsia" w:ascii="宋体" w:hAnsi="宋体" w:eastAsia="宋体" w:cs="宋体"/>
          <w:i w:val="0"/>
          <w:iCs w:val="0"/>
          <w:color w:val="000000"/>
          <w:kern w:val="0"/>
          <w:sz w:val="21"/>
          <w:szCs w:val="21"/>
          <w:u w:val="none"/>
          <w:lang w:val="en-US" w:eastAsia="zh-CN" w:bidi="ar"/>
        </w:rPr>
        <w:t>保险人以参加基本医疗保险或公费医疗身份投保，并以基本医疗保险或公费医疗身份就诊并结算</w:t>
      </w:r>
      <w:bookmarkEnd w:id="2"/>
      <w:r>
        <w:rPr>
          <w:rFonts w:hint="eastAsia" w:ascii="宋体" w:hAnsi="宋体" w:eastAsia="宋体" w:cs="宋体"/>
          <w:i w:val="0"/>
          <w:iCs w:val="0"/>
          <w:color w:val="000000"/>
          <w:kern w:val="0"/>
          <w:sz w:val="21"/>
          <w:szCs w:val="21"/>
          <w:u w:val="none"/>
          <w:lang w:val="en-US" w:eastAsia="zh-CN" w:bidi="ar"/>
        </w:rPr>
        <w:t>：80%；</w:t>
      </w:r>
    </w:p>
    <w:p w14:paraId="70F24202">
      <w:pPr>
        <w:keepNext w:val="0"/>
        <w:keepLines w:val="0"/>
        <w:widowControl/>
        <w:suppressLineNumbers w:val="0"/>
        <w:adjustRightInd w:val="0"/>
        <w:snapToGrid w:val="0"/>
        <w:spacing w:beforeLines="0" w:afterLines="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（2）被保险人以参加基本医疗保险或公费医疗身份投保，但未以基本医疗保险或公费医疗身份就诊并结算：48%；</w:t>
      </w:r>
    </w:p>
    <w:p w14:paraId="7325C422">
      <w:pPr>
        <w:widowControl/>
        <w:numPr>
          <w:ilvl w:val="-1"/>
          <w:numId w:val="0"/>
        </w:numPr>
        <w:adjustRightInd w:val="0"/>
        <w:snapToGrid w:val="0"/>
        <w:spacing w:beforeLines="0" w:after="0" w:afterLines="0"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bookmarkEnd w:id="0"/>
      <w:r>
        <w:rPr>
          <w:rFonts w:hint="eastAsia" w:ascii="宋体" w:hAnsi="宋体" w:eastAsia="宋体" w:cs="宋体"/>
          <w:i w:val="0"/>
          <w:iCs w:val="0"/>
          <w:color w:val="000000"/>
          <w:kern w:val="0"/>
          <w:sz w:val="21"/>
          <w:szCs w:val="21"/>
          <w:u w:val="none"/>
          <w:lang w:val="en-US" w:eastAsia="zh-CN" w:bidi="ar"/>
        </w:rPr>
        <w:t>被保险人既未以参加基本医疗保险身份又未以参加公费医疗身份投保的：80%；</w:t>
      </w:r>
    </w:p>
    <w:p w14:paraId="2FBA63F5">
      <w:pPr>
        <w:widowControl/>
        <w:numPr>
          <w:ilvl w:val="-1"/>
          <w:numId w:val="0"/>
        </w:numPr>
        <w:adjustRightInd w:val="0"/>
        <w:snapToGrid w:val="0"/>
        <w:spacing w:beforeLines="0" w:after="0" w:afterLines="0" w:line="240" w:lineRule="auto"/>
        <w:jc w:val="left"/>
        <w:textAlignment w:val="center"/>
        <w:rPr>
          <w:rFonts w:hint="default" w:ascii="宋体" w:hAnsi="宋体" w:eastAsia="宋体" w:cs="宋体"/>
          <w:b w:val="0"/>
          <w:b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3、保险金额：2万元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3"/>
        <w:gridCol w:w="2909"/>
        <w:gridCol w:w="2770"/>
      </w:tblGrid>
      <w:tr w14:paraId="2860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vMerge w:val="restart"/>
            <w:vAlign w:val="center"/>
          </w:tcPr>
          <w:p w14:paraId="5328CA27">
            <w:pPr>
              <w:numPr>
                <w:ilvl w:val="-1"/>
                <w:numId w:val="0"/>
              </w:numPr>
              <w:adjustRightInd w:val="0"/>
              <w:snapToGrid w:val="0"/>
              <w:spacing w:beforeLines="0" w:after="0" w:afterLines="0" w:line="240" w:lineRule="auto"/>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基准费率</w:t>
            </w:r>
          </w:p>
        </w:tc>
        <w:tc>
          <w:tcPr>
            <w:tcW w:w="2909" w:type="dxa"/>
            <w:vAlign w:val="center"/>
          </w:tcPr>
          <w:p w14:paraId="2B1B7628">
            <w:pPr>
              <w:widowControl/>
              <w:numPr>
                <w:ilvl w:val="-1"/>
                <w:numId w:val="0"/>
              </w:numPr>
              <w:adjustRightInd w:val="0"/>
              <w:snapToGrid w:val="0"/>
              <w:spacing w:beforeLines="0" w:after="0" w:afterLines="0" w:line="240" w:lineRule="auto"/>
              <w:jc w:val="center"/>
              <w:textAlignment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被保险人以参加基本医疗保险或公费医疗身份投保</w:t>
            </w:r>
          </w:p>
        </w:tc>
        <w:tc>
          <w:tcPr>
            <w:tcW w:w="2770" w:type="dxa"/>
            <w:vAlign w:val="center"/>
          </w:tcPr>
          <w:p w14:paraId="688781D0">
            <w:pPr>
              <w:numPr>
                <w:ilvl w:val="-1"/>
                <w:numId w:val="0"/>
              </w:numPr>
              <w:adjustRightInd w:val="0"/>
              <w:snapToGrid w:val="0"/>
              <w:spacing w:beforeLines="0" w:after="0" w:afterLines="0" w:line="240" w:lineRule="auto"/>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被保险人既未以参加基本医疗保险身份又未以参加公费医疗身份投保的</w:t>
            </w:r>
          </w:p>
        </w:tc>
      </w:tr>
      <w:tr w14:paraId="5FB8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3" w:type="dxa"/>
            <w:vMerge w:val="continue"/>
            <w:vAlign w:val="center"/>
          </w:tcPr>
          <w:p w14:paraId="74642A57">
            <w:pPr>
              <w:numPr>
                <w:ilvl w:val="-1"/>
                <w:numId w:val="0"/>
              </w:numPr>
              <w:adjustRightInd w:val="0"/>
              <w:snapToGrid w:val="0"/>
              <w:spacing w:beforeLines="0" w:after="0" w:afterLines="0" w:line="240" w:lineRule="auto"/>
              <w:jc w:val="center"/>
              <w:rPr>
                <w:rFonts w:hint="default" w:ascii="宋体" w:hAnsi="宋体" w:eastAsia="宋体" w:cs="宋体"/>
                <w:b w:val="0"/>
                <w:bCs w:val="0"/>
                <w:sz w:val="21"/>
                <w:szCs w:val="21"/>
                <w:vertAlign w:val="baseline"/>
                <w:lang w:val="en-US" w:eastAsia="zh-CN"/>
              </w:rPr>
            </w:pPr>
          </w:p>
        </w:tc>
        <w:tc>
          <w:tcPr>
            <w:tcW w:w="2909" w:type="dxa"/>
            <w:vAlign w:val="center"/>
          </w:tcPr>
          <w:p w14:paraId="1DAE8773">
            <w:pPr>
              <w:numPr>
                <w:ilvl w:val="-1"/>
                <w:numId w:val="0"/>
              </w:numPr>
              <w:adjustRightInd w:val="0"/>
              <w:snapToGrid w:val="0"/>
              <w:spacing w:beforeLines="0" w:after="0" w:afterLines="0" w:line="240" w:lineRule="auto"/>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0.0014%</w:t>
            </w:r>
          </w:p>
        </w:tc>
        <w:tc>
          <w:tcPr>
            <w:tcW w:w="2770" w:type="dxa"/>
            <w:vAlign w:val="center"/>
          </w:tcPr>
          <w:p w14:paraId="1038FC73">
            <w:pPr>
              <w:numPr>
                <w:ilvl w:val="-1"/>
                <w:numId w:val="0"/>
              </w:numPr>
              <w:adjustRightInd w:val="0"/>
              <w:snapToGrid w:val="0"/>
              <w:spacing w:beforeLines="0" w:after="0" w:afterLines="0" w:line="240" w:lineRule="auto"/>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0.0021%</w:t>
            </w:r>
          </w:p>
        </w:tc>
      </w:tr>
    </w:tbl>
    <w:p w14:paraId="2DFA6D03">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left"/>
        <w:textAlignment w:val="auto"/>
        <w:rPr>
          <w:rFonts w:hint="default" w:ascii="宋体" w:hAnsi="宋体" w:eastAsia="宋体" w:cs="宋体"/>
          <w:b w:val="0"/>
          <w:bCs w:val="0"/>
          <w:sz w:val="21"/>
          <w:szCs w:val="21"/>
          <w:lang w:val="en-US" w:eastAsia="zh-CN"/>
        </w:rPr>
      </w:pPr>
    </w:p>
    <w:p w14:paraId="5E00C2EE">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二、费率调整系数</w:t>
      </w:r>
    </w:p>
    <w:p w14:paraId="0B36431C">
      <w:pPr>
        <w:spacing w:after="0" w:afterLines="0"/>
        <w:ind w:left="0" w:firstLine="420" w:firstLineChars="200"/>
        <w:rPr>
          <w:rStyle w:val="9"/>
          <w:rFonts w:hint="default" w:ascii="宋体" w:hAnsi="宋体" w:eastAsia="宋体" w:cs="宋体"/>
          <w:lang w:val="en-US" w:eastAsia="zh-CN"/>
        </w:rPr>
      </w:pPr>
      <w:r>
        <w:rPr>
          <w:rStyle w:val="9"/>
          <w:rFonts w:hint="eastAsia" w:ascii="宋体" w:hAnsi="宋体" w:eastAsia="宋体" w:cs="宋体"/>
        </w:rPr>
        <w:t>1</w:t>
      </w:r>
      <w:r>
        <w:rPr>
          <w:rStyle w:val="9"/>
          <w:rFonts w:hint="eastAsia" w:ascii="宋体" w:hAnsi="宋体" w:eastAsia="宋体" w:cs="宋体"/>
          <w:lang w:eastAsia="zh-CN"/>
        </w:rPr>
        <w:t>、家庭保险金额分配方式</w:t>
      </w:r>
      <w:r>
        <w:rPr>
          <w:rStyle w:val="9"/>
          <w:rFonts w:hint="eastAsia" w:ascii="宋体" w:hAnsi="宋体" w:eastAsia="宋体" w:cs="宋体"/>
          <w:lang w:val="en-US" w:eastAsia="zh-CN"/>
        </w:rPr>
        <w:t>调整系数（F1）</w:t>
      </w:r>
    </w:p>
    <w:tbl>
      <w:tblPr>
        <w:tblStyle w:val="6"/>
        <w:tblW w:w="495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41"/>
        <w:gridCol w:w="1996"/>
      </w:tblGrid>
      <w:tr w14:paraId="7060F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5" w:hRule="atLeast"/>
        </w:trPr>
        <w:tc>
          <w:tcPr>
            <w:tcW w:w="6442" w:type="dxa"/>
            <w:tcBorders>
              <w:top w:val="single" w:color="auto" w:sz="4" w:space="0"/>
              <w:left w:val="single" w:color="auto" w:sz="4" w:space="0"/>
              <w:bottom w:val="single" w:color="auto" w:sz="4" w:space="0"/>
              <w:right w:val="single" w:color="auto" w:sz="4" w:space="0"/>
            </w:tcBorders>
            <w:shd w:val="clear" w:color="auto" w:fill="auto"/>
            <w:vAlign w:val="center"/>
          </w:tcPr>
          <w:p w14:paraId="237F7B95">
            <w:pPr>
              <w:keepNext w:val="0"/>
              <w:keepLines w:val="0"/>
              <w:widowControl/>
              <w:suppressLineNumbers w:val="0"/>
              <w:spacing w:afterLine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家庭保险金额分配方式</w:t>
            </w:r>
          </w:p>
        </w:tc>
        <w:tc>
          <w:tcPr>
            <w:tcW w:w="1996" w:type="dxa"/>
            <w:tcBorders>
              <w:top w:val="single" w:color="auto" w:sz="4" w:space="0"/>
              <w:left w:val="single" w:color="auto" w:sz="4" w:space="0"/>
              <w:bottom w:val="single" w:color="auto" w:sz="4" w:space="0"/>
              <w:right w:val="single" w:color="auto" w:sz="4" w:space="0"/>
            </w:tcBorders>
            <w:shd w:val="clear" w:color="auto" w:fill="auto"/>
            <w:vAlign w:val="center"/>
          </w:tcPr>
          <w:p w14:paraId="2A189DCA">
            <w:pPr>
              <w:keepNext w:val="0"/>
              <w:keepLines w:val="0"/>
              <w:widowControl/>
              <w:suppressLineNumbers w:val="0"/>
              <w:spacing w:afterLine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调整系数</w:t>
            </w:r>
          </w:p>
        </w:tc>
      </w:tr>
      <w:tr w14:paraId="4A3E0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6442" w:type="dxa"/>
            <w:tcBorders>
              <w:top w:val="single" w:color="auto" w:sz="4" w:space="0"/>
              <w:left w:val="single" w:color="auto" w:sz="4" w:space="0"/>
              <w:bottom w:val="single" w:color="auto" w:sz="4" w:space="0"/>
              <w:right w:val="single" w:color="auto" w:sz="4" w:space="0"/>
            </w:tcBorders>
            <w:shd w:val="clear" w:color="auto" w:fill="auto"/>
            <w:vAlign w:val="center"/>
          </w:tcPr>
          <w:p w14:paraId="389A31A0">
            <w:pPr>
              <w:keepNext w:val="0"/>
              <w:keepLines w:val="0"/>
              <w:widowControl/>
              <w:suppressLineNumbers w:val="0"/>
              <w:spacing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均分家庭保险金额</w:t>
            </w:r>
          </w:p>
        </w:tc>
        <w:tc>
          <w:tcPr>
            <w:tcW w:w="1996" w:type="dxa"/>
            <w:tcBorders>
              <w:top w:val="single" w:color="auto" w:sz="4" w:space="0"/>
              <w:left w:val="single" w:color="auto" w:sz="4" w:space="0"/>
              <w:bottom w:val="single" w:color="auto" w:sz="4" w:space="0"/>
              <w:right w:val="single" w:color="auto" w:sz="4" w:space="0"/>
            </w:tcBorders>
            <w:shd w:val="clear" w:color="auto" w:fill="auto"/>
            <w:vAlign w:val="center"/>
          </w:tcPr>
          <w:p w14:paraId="537579E9">
            <w:pPr>
              <w:keepNext w:val="0"/>
              <w:keepLines w:val="0"/>
              <w:widowControl/>
              <w:suppressLineNumbers w:val="0"/>
              <w:spacing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 </w:t>
            </w:r>
          </w:p>
        </w:tc>
      </w:tr>
      <w:tr w14:paraId="7F9E8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442" w:type="dxa"/>
            <w:tcBorders>
              <w:top w:val="single" w:color="auto" w:sz="4" w:space="0"/>
              <w:left w:val="single" w:color="auto" w:sz="4" w:space="0"/>
              <w:bottom w:val="single" w:color="auto" w:sz="4" w:space="0"/>
              <w:right w:val="single" w:color="auto" w:sz="4" w:space="0"/>
            </w:tcBorders>
            <w:shd w:val="clear" w:color="auto" w:fill="auto"/>
            <w:vAlign w:val="center"/>
          </w:tcPr>
          <w:p w14:paraId="01478D00">
            <w:pPr>
              <w:keepNext w:val="0"/>
              <w:keepLines w:val="0"/>
              <w:widowControl/>
              <w:suppressLineNumbers w:val="0"/>
              <w:spacing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共享家庭保险金额</w:t>
            </w:r>
          </w:p>
        </w:tc>
        <w:tc>
          <w:tcPr>
            <w:tcW w:w="1996" w:type="dxa"/>
            <w:tcBorders>
              <w:top w:val="single" w:color="auto" w:sz="4" w:space="0"/>
              <w:left w:val="single" w:color="auto" w:sz="4" w:space="0"/>
              <w:bottom w:val="single" w:color="auto" w:sz="4" w:space="0"/>
              <w:right w:val="single" w:color="auto" w:sz="4" w:space="0"/>
            </w:tcBorders>
            <w:shd w:val="clear" w:color="auto" w:fill="auto"/>
            <w:vAlign w:val="center"/>
          </w:tcPr>
          <w:p w14:paraId="6730CAFE">
            <w:pPr>
              <w:keepNext w:val="0"/>
              <w:keepLines w:val="0"/>
              <w:widowControl/>
              <w:suppressLineNumbers w:val="0"/>
              <w:spacing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r>
    </w:tbl>
    <w:p w14:paraId="7DD5CE9D">
      <w:pPr>
        <w:spacing w:after="0" w:afterLines="0"/>
        <w:ind w:left="0" w:firstLine="420" w:firstLineChars="200"/>
        <w:rPr>
          <w:rFonts w:ascii="宋体" w:hAnsi="宋体" w:eastAsia="宋体" w:cs="宋体"/>
          <w:szCs w:val="21"/>
        </w:rPr>
      </w:pPr>
      <w:r>
        <w:rPr>
          <w:rStyle w:val="9"/>
          <w:rFonts w:hint="eastAsia" w:ascii="宋体" w:hAnsi="宋体" w:eastAsia="宋体" w:cs="宋体"/>
          <w:lang w:val="en-US" w:eastAsia="zh-CN"/>
        </w:rPr>
        <w:t>2、</w:t>
      </w:r>
      <w:r>
        <w:rPr>
          <w:rFonts w:hint="eastAsia" w:ascii="宋体" w:hAnsi="宋体" w:cs="宋体"/>
          <w:b w:val="0"/>
          <w:bCs/>
          <w:color w:val="auto"/>
          <w:szCs w:val="21"/>
        </w:rPr>
        <w:t>被保险家庭成员人数调整系数</w:t>
      </w:r>
      <w:r>
        <w:rPr>
          <w:rStyle w:val="9"/>
          <w:rFonts w:hint="eastAsia" w:ascii="宋体" w:hAnsi="宋体" w:eastAsia="宋体" w:cs="宋体"/>
        </w:rPr>
        <w:t>（F</w:t>
      </w:r>
      <w:r>
        <w:rPr>
          <w:rStyle w:val="9"/>
          <w:rFonts w:hint="eastAsia" w:ascii="宋体" w:hAnsi="宋体" w:eastAsia="宋体" w:cs="宋体"/>
          <w:lang w:val="en-US" w:eastAsia="zh-CN"/>
        </w:rPr>
        <w:t>2</w:t>
      </w:r>
      <w:r>
        <w:rPr>
          <w:rStyle w:val="9"/>
          <w:rFonts w:hint="eastAsia" w:ascii="宋体" w:hAnsi="宋体" w:eastAsia="宋体" w:cs="宋体"/>
        </w:rPr>
        <w:t>）</w:t>
      </w:r>
    </w:p>
    <w:tbl>
      <w:tblPr>
        <w:tblStyle w:val="7"/>
        <w:tblW w:w="49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07"/>
        <w:gridCol w:w="2030"/>
      </w:tblGrid>
      <w:tr w14:paraId="265C4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6408" w:type="dxa"/>
            <w:vAlign w:val="top"/>
          </w:tcPr>
          <w:p w14:paraId="7E232D1C">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b w:val="0"/>
                <w:bCs w:val="0"/>
                <w:color w:val="auto"/>
                <w:szCs w:val="21"/>
              </w:rPr>
            </w:pPr>
            <w:r>
              <w:rPr>
                <w:rFonts w:hint="eastAsia" w:ascii="宋体" w:hAnsi="宋体" w:cs="宋体"/>
                <w:b w:val="0"/>
                <w:bCs w:val="0"/>
                <w:color w:val="auto"/>
                <w:szCs w:val="21"/>
              </w:rPr>
              <w:t>被保险家庭成员人数（人）</w:t>
            </w:r>
          </w:p>
        </w:tc>
        <w:tc>
          <w:tcPr>
            <w:tcW w:w="2030" w:type="dxa"/>
            <w:vAlign w:val="top"/>
          </w:tcPr>
          <w:p w14:paraId="1A16F36C">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b w:val="0"/>
                <w:bCs w:val="0"/>
                <w:color w:val="auto"/>
                <w:szCs w:val="21"/>
              </w:rPr>
            </w:pPr>
            <w:r>
              <w:rPr>
                <w:rFonts w:hint="eastAsia" w:ascii="宋体" w:hAnsi="宋体" w:cs="宋体"/>
                <w:b w:val="0"/>
                <w:bCs w:val="0"/>
                <w:color w:val="auto"/>
                <w:szCs w:val="21"/>
              </w:rPr>
              <w:t>调整系数</w:t>
            </w:r>
          </w:p>
        </w:tc>
      </w:tr>
      <w:tr w14:paraId="4F678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6408" w:type="dxa"/>
            <w:vAlign w:val="top"/>
          </w:tcPr>
          <w:p w14:paraId="52ACD238">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color w:val="auto"/>
                <w:szCs w:val="21"/>
              </w:rPr>
              <w:t>1</w:t>
            </w:r>
          </w:p>
        </w:tc>
        <w:tc>
          <w:tcPr>
            <w:tcW w:w="2030" w:type="dxa"/>
            <w:vAlign w:val="top"/>
          </w:tcPr>
          <w:p w14:paraId="7FEC2E09">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eastAsia="PMingLiU" w:cs="宋体"/>
                <w:color w:val="auto"/>
                <w:szCs w:val="21"/>
                <w:lang w:eastAsia="zh-TW"/>
              </w:rPr>
            </w:pPr>
            <w:r>
              <w:rPr>
                <w:rFonts w:hint="eastAsia" w:ascii="宋体" w:hAnsi="宋体" w:cs="宋体"/>
                <w:color w:val="auto"/>
                <w:szCs w:val="21"/>
              </w:rPr>
              <w:t>0.</w:t>
            </w:r>
            <w:r>
              <w:rPr>
                <w:rFonts w:hint="eastAsia" w:ascii="宋体" w:hAnsi="宋体" w:eastAsia="PMingLiU" w:cs="宋体"/>
                <w:szCs w:val="21"/>
                <w:lang w:eastAsia="zh-TW"/>
              </w:rPr>
              <w:t>625</w:t>
            </w:r>
          </w:p>
        </w:tc>
      </w:tr>
      <w:tr w14:paraId="0CEF9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6408" w:type="dxa"/>
            <w:vAlign w:val="top"/>
          </w:tcPr>
          <w:p w14:paraId="1684973C">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color w:val="auto"/>
                <w:szCs w:val="21"/>
              </w:rPr>
              <w:t>2</w:t>
            </w:r>
          </w:p>
        </w:tc>
        <w:tc>
          <w:tcPr>
            <w:tcW w:w="2030" w:type="dxa"/>
            <w:vAlign w:val="top"/>
          </w:tcPr>
          <w:p w14:paraId="22E11E98">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color w:val="auto"/>
                <w:szCs w:val="21"/>
              </w:rPr>
              <w:t>1.0</w:t>
            </w:r>
          </w:p>
        </w:tc>
      </w:tr>
      <w:tr w14:paraId="40C2A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6408" w:type="dxa"/>
            <w:vAlign w:val="top"/>
          </w:tcPr>
          <w:p w14:paraId="5E3E8360">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color w:val="auto"/>
                <w:szCs w:val="21"/>
              </w:rPr>
              <w:t>[3,6]</w:t>
            </w:r>
          </w:p>
        </w:tc>
        <w:tc>
          <w:tcPr>
            <w:tcW w:w="2030" w:type="dxa"/>
            <w:vAlign w:val="top"/>
          </w:tcPr>
          <w:p w14:paraId="158EDC22">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color w:val="auto"/>
                <w:szCs w:val="21"/>
              </w:rPr>
              <w:t>[1.2,2.0]</w:t>
            </w:r>
          </w:p>
        </w:tc>
      </w:tr>
      <w:tr w14:paraId="3ABF1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6408" w:type="dxa"/>
            <w:vAlign w:val="top"/>
          </w:tcPr>
          <w:p w14:paraId="51FFCD39">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color w:val="auto"/>
                <w:szCs w:val="21"/>
              </w:rPr>
              <w:t>＞6</w:t>
            </w:r>
          </w:p>
        </w:tc>
        <w:tc>
          <w:tcPr>
            <w:tcW w:w="2030" w:type="dxa"/>
            <w:vAlign w:val="top"/>
          </w:tcPr>
          <w:p w14:paraId="66A9F400">
            <w:pPr>
              <w:pStyle w:val="14"/>
              <w:keepNext w:val="0"/>
              <w:keepLines w:val="0"/>
              <w:pageBreakBefore w:val="0"/>
              <w:widowControl w:val="0"/>
              <w:kinsoku/>
              <w:wordWrap/>
              <w:overflowPunct/>
              <w:topLinePunct w:val="0"/>
              <w:autoSpaceDE/>
              <w:autoSpaceDN/>
              <w:bidi w:val="0"/>
              <w:adjustRightInd/>
              <w:snapToGrid/>
              <w:spacing w:afterLines="0" w:line="240" w:lineRule="auto"/>
              <w:jc w:val="center"/>
              <w:textAlignment w:val="auto"/>
              <w:rPr>
                <w:rFonts w:hint="eastAsia" w:ascii="宋体" w:hAnsi="宋体" w:cs="宋体"/>
                <w:color w:val="auto"/>
                <w:szCs w:val="21"/>
              </w:rPr>
            </w:pPr>
            <w:r>
              <w:rPr>
                <w:rFonts w:hint="eastAsia" w:ascii="宋体" w:hAnsi="宋体" w:cs="宋体"/>
                <w:szCs w:val="21"/>
                <w:lang w:val="en-US" w:eastAsia="zh-CN"/>
              </w:rPr>
              <w:t>(</w:t>
            </w:r>
            <w:r>
              <w:rPr>
                <w:rFonts w:hint="eastAsia" w:ascii="宋体" w:hAnsi="宋体" w:cs="宋体"/>
                <w:color w:val="auto"/>
                <w:szCs w:val="21"/>
              </w:rPr>
              <w:t>2.</w:t>
            </w:r>
            <w:r>
              <w:rPr>
                <w:rFonts w:hint="eastAsia" w:ascii="宋体" w:hAnsi="宋体" w:eastAsia="宋体" w:cs="宋体"/>
                <w:szCs w:val="21"/>
                <w:lang w:eastAsia="zh-CN"/>
              </w:rPr>
              <w:t>0</w:t>
            </w:r>
            <w:r>
              <w:rPr>
                <w:rFonts w:hint="eastAsia" w:ascii="宋体" w:hAnsi="宋体" w:cs="宋体"/>
                <w:color w:val="auto"/>
                <w:szCs w:val="21"/>
              </w:rPr>
              <w:t>,3.0]</w:t>
            </w:r>
          </w:p>
        </w:tc>
      </w:tr>
    </w:tbl>
    <w:p w14:paraId="638B777F">
      <w:pPr>
        <w:autoSpaceDE w:val="0"/>
        <w:autoSpaceDN w:val="0"/>
        <w:adjustRightInd w:val="0"/>
        <w:spacing w:after="0" w:afterLines="0" w:line="240" w:lineRule="auto"/>
        <w:ind w:firstLine="420" w:firstLineChars="200"/>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注：</w:t>
      </w:r>
      <w:r>
        <w:rPr>
          <w:rFonts w:hint="eastAsia" w:ascii="宋体" w:hAnsi="宋体" w:cs="宋体"/>
          <w:b w:val="0"/>
          <w:bCs/>
          <w:color w:val="auto"/>
          <w:szCs w:val="21"/>
        </w:rPr>
        <w:t>仅适用于共享家庭保险金额的分配方式</w:t>
      </w:r>
      <w:r>
        <w:rPr>
          <w:rFonts w:hint="default" w:ascii="宋体" w:hAnsi="宋体" w:eastAsia="宋体" w:cs="宋体"/>
          <w:color w:val="000000"/>
          <w:szCs w:val="21"/>
          <w:lang w:val="en-US" w:eastAsia="zh-CN"/>
        </w:rPr>
        <w:t>。</w:t>
      </w:r>
    </w:p>
    <w:p w14:paraId="66FCAAD8">
      <w:pPr>
        <w:keepNext w:val="0"/>
        <w:keepLines w:val="0"/>
        <w:pageBreakBefore w:val="0"/>
        <w:widowControl w:val="0"/>
        <w:kinsoku/>
        <w:wordWrap/>
        <w:overflowPunct/>
        <w:topLinePunct w:val="0"/>
        <w:autoSpaceDE/>
        <w:autoSpaceDN/>
        <w:bidi w:val="0"/>
        <w:adjustRightInd/>
        <w:snapToGrid/>
        <w:spacing w:beforeLines="0" w:after="0" w:afterLines="0"/>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val="en-US" w:eastAsia="zh-CN"/>
        </w:rPr>
        <w:t>意外伤害医疗保险金</w:t>
      </w:r>
      <w:r>
        <w:rPr>
          <w:rFonts w:hint="eastAsia" w:ascii="宋体" w:hAnsi="宋体" w:eastAsia="宋体" w:cs="宋体"/>
          <w:szCs w:val="21"/>
        </w:rPr>
        <w:t>免赔额调整系数</w:t>
      </w:r>
      <w:r>
        <w:rPr>
          <w:rFonts w:hint="eastAsia" w:ascii="宋体" w:hAnsi="宋体" w:eastAsia="宋体" w:cs="宋体"/>
          <w:szCs w:val="21"/>
          <w:lang w:eastAsia="zh-CN"/>
        </w:rPr>
        <w:t>（</w:t>
      </w:r>
      <w:r>
        <w:rPr>
          <w:rFonts w:hint="eastAsia" w:ascii="宋体" w:hAnsi="宋体" w:eastAsia="宋体" w:cs="宋体"/>
          <w:szCs w:val="21"/>
          <w:lang w:val="en-US" w:eastAsia="zh-CN"/>
        </w:rPr>
        <w:t>F3</w:t>
      </w:r>
      <w:r>
        <w:rPr>
          <w:rFonts w:hint="eastAsia" w:ascii="宋体" w:hAnsi="宋体" w:eastAsia="宋体" w:cs="宋体"/>
          <w:szCs w:val="21"/>
          <w:lang w:eastAsia="zh-CN"/>
        </w:rPr>
        <w:t>）</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44"/>
        <w:gridCol w:w="2078"/>
      </w:tblGrid>
      <w:tr w14:paraId="438D2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25FC0D79">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szCs w:val="21"/>
                <w:lang w:val="en-US" w:eastAsia="zh-CN"/>
              </w:rPr>
              <w:t>意外伤害医疗保险金</w:t>
            </w:r>
            <w:r>
              <w:rPr>
                <w:rFonts w:hint="eastAsia" w:ascii="宋体" w:hAnsi="宋体" w:eastAsia="宋体" w:cs="宋体"/>
                <w:i w:val="0"/>
                <w:iCs w:val="0"/>
                <w:color w:val="000000"/>
                <w:kern w:val="0"/>
                <w:sz w:val="21"/>
                <w:szCs w:val="21"/>
                <w:u w:val="none"/>
                <w:lang w:val="en-US" w:eastAsia="zh-CN" w:bidi="ar"/>
              </w:rPr>
              <w:t>免赔额（元）</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7AA66E99">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5CD14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297F3832">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0（含）-50（含）</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3527CF56">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[1.1,1.2]</w:t>
            </w:r>
          </w:p>
        </w:tc>
      </w:tr>
      <w:tr w14:paraId="5054C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454F897D">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50（不含）-100（含）</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5E067F6C">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[1.0,1.1)</w:t>
            </w:r>
          </w:p>
        </w:tc>
      </w:tr>
      <w:tr w14:paraId="095FC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06B519A3">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100（不含）-200（含）</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5B3354BA">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[0.9,1.0)</w:t>
            </w:r>
          </w:p>
        </w:tc>
      </w:tr>
      <w:tr w14:paraId="76AC1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20D2E54F">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200（不含）-300（含）</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2EA4CD8F">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[0.8,0.9)</w:t>
            </w:r>
          </w:p>
        </w:tc>
      </w:tr>
      <w:tr w14:paraId="0A9D1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494F6F7D">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300（不含）-500（含）</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462892B5">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[0.7,0.8)</w:t>
            </w:r>
          </w:p>
        </w:tc>
      </w:tr>
      <w:tr w14:paraId="5CDCA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5210" w:type="dxa"/>
            <w:tcBorders>
              <w:top w:val="single" w:color="auto" w:sz="4" w:space="0"/>
              <w:left w:val="single" w:color="auto" w:sz="4" w:space="0"/>
              <w:bottom w:val="single" w:color="auto" w:sz="4" w:space="0"/>
              <w:right w:val="single" w:color="auto" w:sz="4" w:space="0"/>
            </w:tcBorders>
            <w:shd w:val="clear" w:color="auto" w:fill="auto"/>
            <w:vAlign w:val="center"/>
          </w:tcPr>
          <w:p w14:paraId="267D2E30">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500以上</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6F0DF25F">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[0.6,0.7)</w:t>
            </w:r>
          </w:p>
        </w:tc>
      </w:tr>
    </w:tbl>
    <w:p w14:paraId="437D6F2C">
      <w:pPr>
        <w:keepNext w:val="0"/>
        <w:keepLines w:val="0"/>
        <w:pageBreakBefore w:val="0"/>
        <w:widowControl w:val="0"/>
        <w:kinsoku/>
        <w:wordWrap/>
        <w:overflowPunct/>
        <w:topLinePunct w:val="0"/>
        <w:autoSpaceDE/>
        <w:autoSpaceDN/>
        <w:bidi w:val="0"/>
        <w:adjustRightInd/>
        <w:snapToGrid/>
        <w:spacing w:beforeLines="0" w:after="0" w:afterLines="0"/>
        <w:ind w:firstLine="420" w:firstLineChars="200"/>
        <w:textAlignment w:val="auto"/>
        <w:rPr>
          <w:rFonts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w:t>
      </w:r>
      <w:r>
        <w:rPr>
          <w:rFonts w:hint="eastAsia" w:ascii="宋体" w:hAnsi="宋体" w:eastAsia="宋体" w:cs="宋体"/>
          <w:szCs w:val="21"/>
          <w:lang w:val="en-US" w:eastAsia="zh-CN"/>
        </w:rPr>
        <w:t>意外伤害医疗保险金</w:t>
      </w:r>
      <w:r>
        <w:rPr>
          <w:rFonts w:hint="eastAsia" w:ascii="宋体" w:hAnsi="宋体" w:eastAsia="宋体" w:cs="宋体"/>
          <w:szCs w:val="21"/>
        </w:rPr>
        <w:t>赔付比例调整系数</w:t>
      </w:r>
      <w:r>
        <w:rPr>
          <w:rFonts w:hint="eastAsia" w:ascii="宋体" w:hAnsi="宋体" w:eastAsia="宋体" w:cs="宋体"/>
          <w:szCs w:val="21"/>
          <w:lang w:eastAsia="zh-CN"/>
        </w:rPr>
        <w:t>（</w:t>
      </w:r>
      <w:r>
        <w:rPr>
          <w:rFonts w:hint="eastAsia" w:ascii="宋体" w:hAnsi="宋体" w:eastAsia="宋体" w:cs="宋体"/>
          <w:szCs w:val="21"/>
          <w:lang w:val="en-US" w:eastAsia="zh-CN"/>
        </w:rPr>
        <w:t>F4</w:t>
      </w:r>
      <w:r>
        <w:rPr>
          <w:rFonts w:hint="eastAsia" w:ascii="宋体" w:hAnsi="宋体" w:eastAsia="宋体" w:cs="宋体"/>
          <w:szCs w:val="21"/>
          <w:lang w:eastAsia="zh-CN"/>
        </w:rPr>
        <w:t>）</w:t>
      </w:r>
    </w:p>
    <w:tbl>
      <w:tblPr>
        <w:tblStyle w:val="6"/>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95"/>
        <w:gridCol w:w="2661"/>
        <w:gridCol w:w="1914"/>
        <w:gridCol w:w="1252"/>
      </w:tblGrid>
      <w:tr w14:paraId="362EA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117C">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bookmarkStart w:id="3" w:name="OLE_LINK21"/>
            <w:r>
              <w:rPr>
                <w:rFonts w:hint="eastAsia" w:ascii="宋体" w:hAnsi="宋体" w:eastAsia="宋体" w:cs="宋体"/>
                <w:i w:val="0"/>
                <w:iCs w:val="0"/>
                <w:color w:val="000000"/>
                <w:kern w:val="0"/>
                <w:sz w:val="21"/>
                <w:szCs w:val="21"/>
                <w:u w:val="none"/>
                <w:lang w:val="en-US" w:eastAsia="zh-CN" w:bidi="ar"/>
              </w:rPr>
              <w:t>被保险人以参加基本医疗保险或公费医疗身份投保，并以基本医疗保险或公费医疗身份就诊并结算</w:t>
            </w:r>
            <w:bookmarkEnd w:id="3"/>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3BD3">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lang w:val="en-US"/>
              </w:rPr>
            </w:pPr>
            <w:bookmarkStart w:id="4" w:name="OLE_LINK22"/>
            <w:bookmarkStart w:id="5" w:name="OLE_LINK23"/>
            <w:r>
              <w:rPr>
                <w:rFonts w:hint="eastAsia" w:ascii="宋体" w:hAnsi="宋体" w:eastAsia="宋体" w:cs="宋体"/>
                <w:i w:val="0"/>
                <w:iCs w:val="0"/>
                <w:color w:val="000000"/>
                <w:kern w:val="0"/>
                <w:sz w:val="21"/>
                <w:szCs w:val="21"/>
                <w:u w:val="none"/>
                <w:lang w:val="en-US" w:eastAsia="zh-CN" w:bidi="ar"/>
              </w:rPr>
              <w:t>被保险人以参加基本医疗保险或公费医疗身份投保，但未以基本医疗保险或公费医疗身份就诊并结</w:t>
            </w:r>
            <w:bookmarkEnd w:id="4"/>
            <w:r>
              <w:rPr>
                <w:rFonts w:hint="eastAsia" w:ascii="宋体" w:hAnsi="宋体" w:eastAsia="宋体" w:cs="宋体"/>
                <w:i w:val="0"/>
                <w:iCs w:val="0"/>
                <w:color w:val="000000"/>
                <w:kern w:val="0"/>
                <w:sz w:val="21"/>
                <w:szCs w:val="21"/>
                <w:u w:val="none"/>
                <w:lang w:val="en-US" w:eastAsia="zh-CN" w:bidi="ar"/>
              </w:rPr>
              <w:t>算</w:t>
            </w:r>
            <w:bookmarkEnd w:id="5"/>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C488">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被保险人既未以参加基本医疗保险身份又未以参加公费医疗身份投保的</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38173">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26FD8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BECC">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E9C87">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0489">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C4EC">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 </w:t>
            </w:r>
          </w:p>
        </w:tc>
      </w:tr>
      <w:tr w14:paraId="7DCFD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8C6AB">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A8F9">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3C9D">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4124E">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1.13 </w:t>
            </w:r>
          </w:p>
        </w:tc>
      </w:tr>
      <w:tr w14:paraId="5226C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6169B">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D75C">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FEFD">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DAC2">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3F319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DA06">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7FBD7">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325B">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91C4">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0.88 </w:t>
            </w:r>
          </w:p>
        </w:tc>
      </w:tr>
      <w:tr w14:paraId="6C354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6C541">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BD538">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C832E">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5014">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0.75 </w:t>
            </w:r>
          </w:p>
        </w:tc>
      </w:tr>
      <w:tr w14:paraId="0EFA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E557">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D2F3">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7C8A5">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BA822">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0.63 </w:t>
            </w:r>
          </w:p>
        </w:tc>
      </w:tr>
      <w:tr w14:paraId="1094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6296">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28E5C">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6B8E2">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B131">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0.50 </w:t>
            </w:r>
          </w:p>
        </w:tc>
      </w:tr>
      <w:tr w14:paraId="472F8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024C">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D2F2">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E2C8">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ACCB">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0.38 </w:t>
            </w:r>
          </w:p>
        </w:tc>
      </w:tr>
      <w:tr w14:paraId="2247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jc w:val="center"/>
        </w:trPr>
        <w:tc>
          <w:tcPr>
            <w:tcW w:w="2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91A76">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25%</w:t>
            </w:r>
          </w:p>
        </w:tc>
        <w:tc>
          <w:tcPr>
            <w:tcW w:w="2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E77A">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FE37">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8374B">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0.31 </w:t>
            </w:r>
          </w:p>
        </w:tc>
      </w:tr>
    </w:tbl>
    <w:p w14:paraId="1A3657A5">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0" w:afterLines="0" w:line="24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szCs w:val="21"/>
          <w:lang w:val="en-US" w:eastAsia="zh-CN"/>
        </w:rPr>
        <w:t>5、意外伤害医疗</w:t>
      </w:r>
      <w:r>
        <w:rPr>
          <w:rFonts w:hint="eastAsia" w:ascii="宋体" w:hAnsi="宋体" w:eastAsia="宋体" w:cs="宋体"/>
          <w:b w:val="0"/>
          <w:bCs w:val="0"/>
          <w:sz w:val="21"/>
          <w:szCs w:val="21"/>
          <w:lang w:val="en-US" w:eastAsia="zh-CN"/>
        </w:rPr>
        <w:t>保险金额调整系数（F5）</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7"/>
        <w:gridCol w:w="2085"/>
      </w:tblGrid>
      <w:tr w14:paraId="21129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3106">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意外伤害医疗保险金额（万元）</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968FB">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0E531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A5B8">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E8FDD">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[1.1,1.5]</w:t>
            </w:r>
          </w:p>
        </w:tc>
      </w:tr>
      <w:tr w14:paraId="3DECA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0F933">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60D3">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[1.0,1.1)</w:t>
            </w:r>
          </w:p>
        </w:tc>
      </w:tr>
      <w:tr w14:paraId="5AF77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6D811">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5409">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[0.9,1.0)</w:t>
            </w:r>
          </w:p>
        </w:tc>
      </w:tr>
      <w:tr w14:paraId="0956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3486C">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(5,10]</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9DD38">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[0.8,0.9)</w:t>
            </w:r>
          </w:p>
        </w:tc>
      </w:tr>
      <w:tr w14:paraId="1BCF4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A784">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&lt;10</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64D81">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[0.7,0.8)</w:t>
            </w:r>
          </w:p>
        </w:tc>
      </w:tr>
    </w:tbl>
    <w:p w14:paraId="529961BB">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0" w:afterLines="0" w:line="240" w:lineRule="auto"/>
        <w:ind w:firstLine="420" w:firstLineChars="200"/>
        <w:textAlignment w:val="auto"/>
        <w:rPr>
          <w:rFonts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w:t>
      </w:r>
      <w:r>
        <w:rPr>
          <w:rFonts w:hint="eastAsia" w:ascii="宋体" w:hAnsi="宋体" w:eastAsia="宋体" w:cs="宋体"/>
          <w:i w:val="0"/>
          <w:iCs w:val="0"/>
          <w:color w:val="000000"/>
          <w:kern w:val="0"/>
          <w:sz w:val="21"/>
          <w:szCs w:val="21"/>
          <w:u w:val="none"/>
          <w:lang w:val="en-US" w:eastAsia="zh-CN" w:bidi="ar"/>
        </w:rPr>
        <w:t>燃气类型调整系数</w:t>
      </w:r>
      <w:r>
        <w:rPr>
          <w:rFonts w:hint="eastAsia" w:ascii="宋体" w:hAnsi="宋体" w:eastAsia="宋体" w:cs="宋体"/>
          <w:b w:val="0"/>
          <w:bCs w:val="0"/>
          <w:sz w:val="21"/>
          <w:szCs w:val="21"/>
          <w:lang w:val="en-US" w:eastAsia="zh-CN"/>
        </w:rPr>
        <w:t>（F6）</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7"/>
        <w:gridCol w:w="2065"/>
      </w:tblGrid>
      <w:tr w14:paraId="37701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6457" w:type="dxa"/>
            <w:tcBorders>
              <w:top w:val="single" w:color="auto" w:sz="4" w:space="0"/>
              <w:left w:val="single" w:color="auto" w:sz="4" w:space="0"/>
              <w:bottom w:val="single" w:color="auto" w:sz="4" w:space="0"/>
              <w:right w:val="single" w:color="auto" w:sz="4" w:space="0"/>
            </w:tcBorders>
            <w:shd w:val="clear" w:color="auto" w:fill="auto"/>
            <w:vAlign w:val="center"/>
          </w:tcPr>
          <w:p w14:paraId="7B7FBE57">
            <w:pPr>
              <w:keepNext w:val="0"/>
              <w:keepLines w:val="0"/>
              <w:widowControl/>
              <w:suppressLineNumbers w:val="0"/>
              <w:spacing w:beforeLines="0" w:afterLine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使用燃气类型</w:t>
            </w:r>
          </w:p>
        </w:tc>
        <w:tc>
          <w:tcPr>
            <w:tcW w:w="2065" w:type="dxa"/>
            <w:tcBorders>
              <w:top w:val="single" w:color="auto" w:sz="4" w:space="0"/>
              <w:left w:val="single" w:color="auto" w:sz="4" w:space="0"/>
              <w:bottom w:val="single" w:color="auto" w:sz="4" w:space="0"/>
              <w:right w:val="single" w:color="auto" w:sz="4" w:space="0"/>
            </w:tcBorders>
            <w:shd w:val="clear" w:color="auto" w:fill="auto"/>
            <w:vAlign w:val="center"/>
          </w:tcPr>
          <w:p w14:paraId="368642D2">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60C7D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457" w:type="dxa"/>
            <w:tcBorders>
              <w:top w:val="single" w:color="auto" w:sz="4" w:space="0"/>
              <w:left w:val="single" w:color="auto" w:sz="4" w:space="0"/>
              <w:bottom w:val="single" w:color="auto" w:sz="4" w:space="0"/>
              <w:right w:val="single" w:color="auto" w:sz="4" w:space="0"/>
            </w:tcBorders>
            <w:shd w:val="clear" w:color="auto" w:fill="auto"/>
            <w:vAlign w:val="center"/>
          </w:tcPr>
          <w:p w14:paraId="21C5ABEF">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天然气</w:t>
            </w:r>
          </w:p>
        </w:tc>
        <w:tc>
          <w:tcPr>
            <w:tcW w:w="2065" w:type="dxa"/>
            <w:tcBorders>
              <w:top w:val="single" w:color="auto" w:sz="4" w:space="0"/>
              <w:left w:val="single" w:color="auto" w:sz="4" w:space="0"/>
              <w:bottom w:val="single" w:color="auto" w:sz="4" w:space="0"/>
              <w:right w:val="single" w:color="auto" w:sz="4" w:space="0"/>
            </w:tcBorders>
            <w:shd w:val="clear" w:color="auto" w:fill="auto"/>
            <w:vAlign w:val="center"/>
          </w:tcPr>
          <w:p w14:paraId="54EAD3BE">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[0.8,1.0)</w:t>
            </w:r>
          </w:p>
        </w:tc>
      </w:tr>
      <w:tr w14:paraId="0ABA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457" w:type="dxa"/>
            <w:tcBorders>
              <w:top w:val="single" w:color="auto" w:sz="4" w:space="0"/>
              <w:left w:val="single" w:color="auto" w:sz="4" w:space="0"/>
              <w:bottom w:val="single" w:color="auto" w:sz="4" w:space="0"/>
              <w:right w:val="single" w:color="auto" w:sz="4" w:space="0"/>
            </w:tcBorders>
            <w:shd w:val="clear" w:color="auto" w:fill="auto"/>
            <w:vAlign w:val="center"/>
          </w:tcPr>
          <w:p w14:paraId="2A0EEE61">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管道煤气</w:t>
            </w:r>
          </w:p>
        </w:tc>
        <w:tc>
          <w:tcPr>
            <w:tcW w:w="2065" w:type="dxa"/>
            <w:tcBorders>
              <w:top w:val="single" w:color="auto" w:sz="4" w:space="0"/>
              <w:left w:val="single" w:color="auto" w:sz="4" w:space="0"/>
              <w:bottom w:val="single" w:color="auto" w:sz="4" w:space="0"/>
              <w:right w:val="single" w:color="auto" w:sz="4" w:space="0"/>
            </w:tcBorders>
            <w:shd w:val="clear" w:color="auto" w:fill="auto"/>
            <w:vAlign w:val="center"/>
          </w:tcPr>
          <w:p w14:paraId="4F774AE5">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Style w:val="13"/>
                <w:lang w:val="en-US" w:eastAsia="zh-CN" w:bidi="ar"/>
              </w:rPr>
              <w:t>[</w:t>
            </w:r>
            <w:r>
              <w:rPr>
                <w:rStyle w:val="13"/>
                <w:rFonts w:hint="eastAsia"/>
                <w:lang w:val="en-US" w:eastAsia="zh-CN" w:bidi="ar"/>
              </w:rPr>
              <w:t>1.0,1.1</w:t>
            </w:r>
            <w:r>
              <w:rPr>
                <w:rFonts w:hint="eastAsia" w:ascii="宋体" w:hAnsi="宋体" w:eastAsia="宋体" w:cs="宋体"/>
                <w:i w:val="0"/>
                <w:iCs w:val="0"/>
                <w:color w:val="000000"/>
                <w:kern w:val="0"/>
                <w:sz w:val="21"/>
                <w:szCs w:val="21"/>
                <w:u w:val="none"/>
                <w:lang w:val="en-US" w:eastAsia="zh-CN" w:bidi="ar"/>
              </w:rPr>
              <w:t>)</w:t>
            </w:r>
          </w:p>
        </w:tc>
      </w:tr>
      <w:tr w14:paraId="73751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457" w:type="dxa"/>
            <w:tcBorders>
              <w:top w:val="single" w:color="auto" w:sz="4" w:space="0"/>
              <w:left w:val="single" w:color="auto" w:sz="4" w:space="0"/>
              <w:bottom w:val="single" w:color="auto" w:sz="4" w:space="0"/>
              <w:right w:val="single" w:color="auto" w:sz="4" w:space="0"/>
            </w:tcBorders>
            <w:shd w:val="clear" w:color="auto" w:fill="auto"/>
            <w:vAlign w:val="center"/>
          </w:tcPr>
          <w:p w14:paraId="74ACC50E">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罐装液化石油气</w:t>
            </w:r>
          </w:p>
        </w:tc>
        <w:tc>
          <w:tcPr>
            <w:tcW w:w="2065" w:type="dxa"/>
            <w:tcBorders>
              <w:top w:val="single" w:color="auto" w:sz="4" w:space="0"/>
              <w:left w:val="single" w:color="auto" w:sz="4" w:space="0"/>
              <w:bottom w:val="single" w:color="auto" w:sz="4" w:space="0"/>
              <w:right w:val="single" w:color="auto" w:sz="4" w:space="0"/>
            </w:tcBorders>
            <w:shd w:val="clear" w:color="auto" w:fill="auto"/>
            <w:vAlign w:val="center"/>
          </w:tcPr>
          <w:p w14:paraId="2C27C222">
            <w:pPr>
              <w:keepNext w:val="0"/>
              <w:keepLines w:val="0"/>
              <w:widowControl/>
              <w:suppressLineNumbers w:val="0"/>
              <w:spacing w:beforeLines="0" w:afterLines="0"/>
              <w:jc w:val="center"/>
              <w:textAlignment w:val="center"/>
              <w:rPr>
                <w:rFonts w:hint="eastAsia" w:ascii="宋体" w:hAnsi="宋体" w:eastAsia="宋体" w:cs="宋体"/>
                <w:i w:val="0"/>
                <w:iCs w:val="0"/>
                <w:color w:val="000000"/>
                <w:sz w:val="21"/>
                <w:szCs w:val="21"/>
                <w:u w:val="none"/>
              </w:rPr>
            </w:pPr>
            <w:r>
              <w:rPr>
                <w:rStyle w:val="13"/>
                <w:lang w:val="en-US" w:eastAsia="zh-CN" w:bidi="ar"/>
              </w:rPr>
              <w:t>[</w:t>
            </w:r>
            <w:r>
              <w:rPr>
                <w:rFonts w:hint="eastAsia" w:ascii="宋体" w:hAnsi="宋体" w:eastAsia="宋体" w:cs="宋体"/>
                <w:i w:val="0"/>
                <w:iCs w:val="0"/>
                <w:color w:val="000000"/>
                <w:kern w:val="0"/>
                <w:sz w:val="21"/>
                <w:szCs w:val="21"/>
                <w:u w:val="none"/>
                <w:lang w:val="en-US" w:eastAsia="zh-CN" w:bidi="ar"/>
              </w:rPr>
              <w:t>1.1,1.2]</w:t>
            </w:r>
          </w:p>
        </w:tc>
      </w:tr>
      <w:tr w14:paraId="730E7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6457" w:type="dxa"/>
            <w:tcBorders>
              <w:top w:val="single" w:color="auto" w:sz="4" w:space="0"/>
              <w:left w:val="single" w:color="auto" w:sz="4" w:space="0"/>
              <w:bottom w:val="single" w:color="auto" w:sz="4" w:space="0"/>
              <w:right w:val="single" w:color="auto" w:sz="4" w:space="0"/>
            </w:tcBorders>
            <w:shd w:val="clear" w:color="auto" w:fill="auto"/>
            <w:vAlign w:val="center"/>
          </w:tcPr>
          <w:p w14:paraId="45A5EC42">
            <w:pPr>
              <w:keepNext w:val="0"/>
              <w:keepLines w:val="0"/>
              <w:widowControl/>
              <w:suppressLineNumbers w:val="0"/>
              <w:spacing w:beforeLines="0" w:afterLine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其他</w:t>
            </w:r>
          </w:p>
        </w:tc>
        <w:tc>
          <w:tcPr>
            <w:tcW w:w="2065" w:type="dxa"/>
            <w:tcBorders>
              <w:top w:val="single" w:color="auto" w:sz="4" w:space="0"/>
              <w:left w:val="single" w:color="auto" w:sz="4" w:space="0"/>
              <w:bottom w:val="single" w:color="auto" w:sz="4" w:space="0"/>
              <w:right w:val="single" w:color="auto" w:sz="4" w:space="0"/>
            </w:tcBorders>
            <w:shd w:val="clear" w:color="auto" w:fill="auto"/>
            <w:vAlign w:val="center"/>
          </w:tcPr>
          <w:p w14:paraId="4683F390">
            <w:pPr>
              <w:keepNext w:val="0"/>
              <w:keepLines w:val="0"/>
              <w:widowControl/>
              <w:suppressLineNumbers w:val="0"/>
              <w:spacing w:beforeLines="0" w:afterLines="0"/>
              <w:jc w:val="center"/>
              <w:textAlignment w:val="center"/>
              <w:rPr>
                <w:rFonts w:hint="eastAsia" w:ascii="宋体" w:hAnsi="宋体" w:eastAsia="宋体" w:cs="宋体"/>
                <w:i w:val="0"/>
                <w:iCs w:val="0"/>
                <w:color w:val="000000"/>
                <w:kern w:val="0"/>
                <w:sz w:val="21"/>
                <w:szCs w:val="21"/>
                <w:u w:val="none"/>
                <w:lang w:val="en-US" w:eastAsia="zh-CN" w:bidi="ar"/>
              </w:rPr>
            </w:pPr>
            <w:r>
              <w:rPr>
                <w:rStyle w:val="13"/>
                <w:rFonts w:hint="eastAsia"/>
                <w:lang w:val="en-US" w:eastAsia="zh-CN" w:bidi="ar"/>
              </w:rPr>
              <w:t xml:space="preserve"> </w:t>
            </w:r>
            <w:r>
              <w:rPr>
                <w:rStyle w:val="13"/>
                <w:lang w:val="en-US" w:eastAsia="zh-CN" w:bidi="ar"/>
              </w:rPr>
              <w:t>[</w:t>
            </w:r>
            <w:r>
              <w:rPr>
                <w:rStyle w:val="13"/>
                <w:rFonts w:hint="eastAsia"/>
                <w:lang w:val="en-US" w:eastAsia="zh-CN" w:bidi="ar"/>
              </w:rPr>
              <w:t>1.0,1.2</w:t>
            </w:r>
            <w:r>
              <w:rPr>
                <w:rStyle w:val="13"/>
                <w:lang w:val="en-US" w:eastAsia="zh-CN" w:bidi="ar"/>
              </w:rPr>
              <w:t>］</w:t>
            </w:r>
          </w:p>
        </w:tc>
      </w:tr>
    </w:tbl>
    <w:p w14:paraId="3AD5288B">
      <w:pPr>
        <w:spacing w:after="0" w:afterLines="0"/>
        <w:ind w:left="0" w:firstLine="420" w:firstLineChars="200"/>
        <w:rPr>
          <w:rStyle w:val="9"/>
          <w:rFonts w:ascii="宋体" w:hAnsi="宋体" w:eastAsia="宋体" w:cs="宋体"/>
        </w:rPr>
      </w:pPr>
      <w:r>
        <w:rPr>
          <w:rStyle w:val="9"/>
          <w:rFonts w:hint="eastAsia" w:ascii="宋体" w:hAnsi="宋体" w:eastAsia="宋体" w:cs="宋体"/>
          <w:lang w:val="en-US" w:eastAsia="zh-CN"/>
        </w:rPr>
        <w:t>7、</w:t>
      </w:r>
      <w:r>
        <w:rPr>
          <w:rStyle w:val="9"/>
          <w:rFonts w:hint="eastAsia" w:ascii="宋体" w:hAnsi="宋体" w:eastAsia="宋体" w:cs="宋体"/>
        </w:rPr>
        <w:t>保险</w:t>
      </w:r>
      <w:r>
        <w:rPr>
          <w:rStyle w:val="9"/>
          <w:rFonts w:hint="eastAsia" w:ascii="宋体" w:hAnsi="宋体" w:eastAsia="宋体" w:cs="宋体"/>
          <w:lang w:val="en-US" w:eastAsia="zh-CN"/>
        </w:rPr>
        <w:t>农房</w:t>
      </w:r>
      <w:r>
        <w:rPr>
          <w:rStyle w:val="9"/>
          <w:rFonts w:hint="eastAsia" w:ascii="宋体" w:hAnsi="宋体" w:eastAsia="宋体" w:cs="宋体"/>
        </w:rPr>
        <w:t>所在地燃气公司管理水平调整系数（F</w:t>
      </w:r>
      <w:r>
        <w:rPr>
          <w:rStyle w:val="9"/>
          <w:rFonts w:hint="eastAsia" w:ascii="宋体" w:hAnsi="宋体" w:eastAsia="宋体" w:cs="宋体"/>
          <w:lang w:val="en-US" w:eastAsia="zh-CN"/>
        </w:rPr>
        <w:t>7</w:t>
      </w:r>
      <w:r>
        <w:rPr>
          <w:rStyle w:val="9"/>
          <w:rFonts w:hint="eastAsia" w:ascii="宋体" w:hAnsi="宋体" w:eastAsia="宋体" w:cs="宋体"/>
        </w:rPr>
        <w:t>）</w:t>
      </w:r>
    </w:p>
    <w:tbl>
      <w:tblPr>
        <w:tblStyle w:val="6"/>
        <w:tblW w:w="4977" w:type="pct"/>
        <w:tblInd w:w="0" w:type="dxa"/>
        <w:tblLayout w:type="autofit"/>
        <w:tblCellMar>
          <w:top w:w="15" w:type="dxa"/>
          <w:left w:w="15" w:type="dxa"/>
          <w:bottom w:w="15" w:type="dxa"/>
          <w:right w:w="15" w:type="dxa"/>
        </w:tblCellMar>
      </w:tblPr>
      <w:tblGrid>
        <w:gridCol w:w="6344"/>
        <w:gridCol w:w="1954"/>
      </w:tblGrid>
      <w:tr w14:paraId="19783B58">
        <w:tblPrEx>
          <w:tblCellMar>
            <w:top w:w="15" w:type="dxa"/>
            <w:left w:w="15" w:type="dxa"/>
            <w:bottom w:w="15" w:type="dxa"/>
            <w:right w:w="15" w:type="dxa"/>
          </w:tblCellMar>
        </w:tblPrEx>
        <w:trPr>
          <w:trHeight w:val="414"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E814207">
            <w:pPr>
              <w:keepNext w:val="0"/>
              <w:keepLines w:val="0"/>
              <w:widowControl/>
              <w:suppressLineNumbers w:val="0"/>
              <w:jc w:val="center"/>
              <w:textAlignment w:val="center"/>
              <w:rPr>
                <w:rStyle w:val="9"/>
                <w:rFonts w:ascii="宋体" w:hAnsi="宋体" w:eastAsia="宋体" w:cs="宋体"/>
                <w:b w:val="0"/>
                <w:bCs w:val="0"/>
              </w:rPr>
            </w:pPr>
            <w:r>
              <w:rPr>
                <w:rFonts w:hint="eastAsia" w:ascii="宋体" w:hAnsi="宋体" w:eastAsia="宋体" w:cs="宋体"/>
                <w:b w:val="0"/>
                <w:bCs w:val="0"/>
                <w:i w:val="0"/>
                <w:iCs w:val="0"/>
                <w:color w:val="000000"/>
                <w:kern w:val="0"/>
                <w:sz w:val="21"/>
                <w:szCs w:val="21"/>
                <w:u w:val="none"/>
                <w:lang w:val="en-US" w:eastAsia="zh-CN" w:bidi="ar"/>
              </w:rPr>
              <w:t>保险农房所在地燃气公司管理水平</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FCEBEBD">
            <w:pPr>
              <w:keepNext w:val="0"/>
              <w:keepLines w:val="0"/>
              <w:widowControl/>
              <w:suppressLineNumbers w:val="0"/>
              <w:jc w:val="center"/>
              <w:textAlignment w:val="center"/>
              <w:rPr>
                <w:rStyle w:val="9"/>
                <w:rFonts w:ascii="宋体" w:hAnsi="宋体" w:eastAsia="宋体" w:cs="宋体"/>
                <w:b w:val="0"/>
                <w:bCs w:val="0"/>
              </w:rPr>
            </w:pPr>
            <w:r>
              <w:rPr>
                <w:rFonts w:hint="eastAsia" w:ascii="宋体" w:hAnsi="宋体" w:eastAsia="宋体" w:cs="宋体"/>
                <w:b w:val="0"/>
                <w:bCs w:val="0"/>
                <w:i w:val="0"/>
                <w:iCs w:val="0"/>
                <w:color w:val="000000"/>
                <w:kern w:val="0"/>
                <w:sz w:val="21"/>
                <w:szCs w:val="21"/>
                <w:u w:val="none"/>
                <w:lang w:val="en-US" w:eastAsia="zh-CN" w:bidi="ar"/>
              </w:rPr>
              <w:t>调整系数</w:t>
            </w:r>
          </w:p>
        </w:tc>
      </w:tr>
      <w:tr w14:paraId="61A73006">
        <w:tblPrEx>
          <w:tblCellMar>
            <w:top w:w="15" w:type="dxa"/>
            <w:left w:w="15" w:type="dxa"/>
            <w:bottom w:w="15" w:type="dxa"/>
            <w:right w:w="15" w:type="dxa"/>
          </w:tblCellMar>
        </w:tblPrEx>
        <w:trPr>
          <w:trHeight w:val="253"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4895AEA">
            <w:pPr>
              <w:keepNext w:val="0"/>
              <w:keepLines w:val="0"/>
              <w:widowControl/>
              <w:suppressLineNumbers w:val="0"/>
              <w:jc w:val="center"/>
              <w:textAlignment w:val="center"/>
              <w:rPr>
                <w:rStyle w:val="9"/>
                <w:rFonts w:hint="default" w:ascii="宋体" w:hAnsi="宋体" w:eastAsia="宋体" w:cs="宋体"/>
                <w:lang w:val="en-US" w:eastAsia="zh-CN"/>
              </w:rPr>
            </w:pPr>
            <w:r>
              <w:rPr>
                <w:rFonts w:hint="eastAsia" w:ascii="宋体" w:hAnsi="宋体" w:eastAsia="宋体" w:cs="宋体"/>
                <w:i w:val="0"/>
                <w:iCs w:val="0"/>
                <w:color w:val="000000"/>
                <w:kern w:val="0"/>
                <w:sz w:val="21"/>
                <w:szCs w:val="21"/>
                <w:u w:val="none"/>
                <w:lang w:val="en-US" w:eastAsia="zh-CN" w:bidi="ar"/>
              </w:rPr>
              <w:t>燃气公司的风险管理规章制度健全，管理能力较强，平均每年对燃气设备进行检修1次以上</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471827A">
            <w:pPr>
              <w:keepNext w:val="0"/>
              <w:keepLines w:val="0"/>
              <w:widowControl/>
              <w:suppressLineNumbers w:val="0"/>
              <w:jc w:val="center"/>
              <w:textAlignment w:val="center"/>
              <w:rPr>
                <w:rStyle w:val="9"/>
                <w:rFonts w:ascii="宋体" w:hAnsi="宋体" w:eastAsia="宋体" w:cs="宋体"/>
              </w:rPr>
            </w:pPr>
            <w:r>
              <w:rPr>
                <w:rFonts w:hint="eastAsia" w:ascii="宋体" w:hAnsi="宋体" w:eastAsia="宋体" w:cs="宋体"/>
                <w:i w:val="0"/>
                <w:iCs w:val="0"/>
                <w:color w:val="000000"/>
                <w:kern w:val="0"/>
                <w:sz w:val="21"/>
                <w:szCs w:val="21"/>
                <w:u w:val="none"/>
                <w:lang w:val="en-US" w:eastAsia="zh-CN" w:bidi="ar"/>
              </w:rPr>
              <w:t>[0.7,0.9]</w:t>
            </w:r>
          </w:p>
        </w:tc>
      </w:tr>
      <w:tr w14:paraId="49A888F9">
        <w:tblPrEx>
          <w:tblCellMar>
            <w:top w:w="15" w:type="dxa"/>
            <w:left w:w="15" w:type="dxa"/>
            <w:bottom w:w="15" w:type="dxa"/>
            <w:right w:w="15" w:type="dxa"/>
          </w:tblCellMar>
        </w:tblPrEx>
        <w:trPr>
          <w:trHeight w:val="253"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5EA4EBD">
            <w:pPr>
              <w:keepNext w:val="0"/>
              <w:keepLines w:val="0"/>
              <w:widowControl/>
              <w:suppressLineNumbers w:val="0"/>
              <w:jc w:val="center"/>
              <w:textAlignment w:val="center"/>
              <w:rPr>
                <w:rStyle w:val="9"/>
                <w:rFonts w:ascii="宋体" w:hAnsi="宋体" w:eastAsia="宋体" w:cs="宋体"/>
              </w:rPr>
            </w:pPr>
            <w:r>
              <w:rPr>
                <w:rFonts w:hint="eastAsia" w:ascii="宋体" w:hAnsi="宋体" w:eastAsia="宋体" w:cs="宋体"/>
                <w:i w:val="0"/>
                <w:iCs w:val="0"/>
                <w:color w:val="000000"/>
                <w:kern w:val="0"/>
                <w:sz w:val="21"/>
                <w:szCs w:val="21"/>
                <w:u w:val="none"/>
                <w:lang w:val="en-US" w:eastAsia="zh-CN" w:bidi="ar"/>
              </w:rPr>
              <w:t>燃气公司的风险管理规章制度较为健全，管理能力一般，平均每年对燃气设备进行检修1次</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8DB8C76">
            <w:pPr>
              <w:keepNext w:val="0"/>
              <w:keepLines w:val="0"/>
              <w:widowControl/>
              <w:suppressLineNumbers w:val="0"/>
              <w:jc w:val="center"/>
              <w:textAlignment w:val="center"/>
              <w:rPr>
                <w:rStyle w:val="9"/>
                <w:rFonts w:ascii="宋体" w:hAnsi="宋体" w:eastAsia="宋体" w:cs="宋体"/>
              </w:rPr>
            </w:pPr>
            <w:r>
              <w:rPr>
                <w:rFonts w:hint="eastAsia" w:ascii="宋体" w:hAnsi="宋体" w:eastAsia="宋体" w:cs="宋体"/>
                <w:i w:val="0"/>
                <w:iCs w:val="0"/>
                <w:color w:val="000000"/>
                <w:kern w:val="0"/>
                <w:sz w:val="21"/>
                <w:szCs w:val="21"/>
                <w:u w:val="none"/>
                <w:lang w:val="en-US" w:eastAsia="zh-CN" w:bidi="ar"/>
              </w:rPr>
              <w:t>(0.9,1.0]</w:t>
            </w:r>
          </w:p>
        </w:tc>
      </w:tr>
      <w:tr w14:paraId="0E9B3D47">
        <w:tblPrEx>
          <w:tblCellMar>
            <w:top w:w="15" w:type="dxa"/>
            <w:left w:w="15" w:type="dxa"/>
            <w:bottom w:w="15" w:type="dxa"/>
            <w:right w:w="15" w:type="dxa"/>
          </w:tblCellMar>
        </w:tblPrEx>
        <w:trPr>
          <w:trHeight w:val="263"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19B86D5">
            <w:pPr>
              <w:keepNext w:val="0"/>
              <w:keepLines w:val="0"/>
              <w:widowControl/>
              <w:suppressLineNumbers w:val="0"/>
              <w:jc w:val="center"/>
              <w:textAlignment w:val="center"/>
              <w:rPr>
                <w:rStyle w:val="9"/>
                <w:rFonts w:hint="default" w:ascii="宋体" w:hAnsi="宋体" w:eastAsia="宋体" w:cs="宋体"/>
                <w:lang w:val="en-US"/>
              </w:rPr>
            </w:pPr>
            <w:r>
              <w:rPr>
                <w:rFonts w:hint="eastAsia" w:ascii="宋体" w:hAnsi="宋体" w:eastAsia="宋体" w:cs="宋体"/>
                <w:i w:val="0"/>
                <w:iCs w:val="0"/>
                <w:color w:val="000000"/>
                <w:kern w:val="0"/>
                <w:sz w:val="21"/>
                <w:szCs w:val="21"/>
                <w:u w:val="none"/>
                <w:lang w:val="en-US" w:eastAsia="zh-CN" w:bidi="ar"/>
              </w:rPr>
              <w:t>燃气公司的风险管理规章制度不健全，管理能力较差，平均每年对燃气设备进行检修1次以下</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6907312">
            <w:pPr>
              <w:keepNext w:val="0"/>
              <w:keepLines w:val="0"/>
              <w:widowControl/>
              <w:suppressLineNumbers w:val="0"/>
              <w:jc w:val="center"/>
              <w:textAlignment w:val="center"/>
              <w:rPr>
                <w:rStyle w:val="9"/>
                <w:rFonts w:ascii="宋体" w:hAnsi="宋体" w:eastAsia="宋体" w:cs="宋体"/>
              </w:rPr>
            </w:pPr>
            <w:r>
              <w:rPr>
                <w:rFonts w:hint="eastAsia" w:ascii="宋体" w:hAnsi="宋体" w:eastAsia="宋体" w:cs="宋体"/>
                <w:i w:val="0"/>
                <w:iCs w:val="0"/>
                <w:color w:val="000000"/>
                <w:kern w:val="0"/>
                <w:sz w:val="21"/>
                <w:szCs w:val="21"/>
                <w:u w:val="none"/>
                <w:lang w:val="en-US" w:eastAsia="zh-CN" w:bidi="ar"/>
              </w:rPr>
              <w:t>(1.0,1.3]</w:t>
            </w:r>
          </w:p>
        </w:tc>
      </w:tr>
    </w:tbl>
    <w:p w14:paraId="40402663">
      <w:pPr>
        <w:spacing w:after="0" w:afterLines="0"/>
        <w:ind w:left="0" w:firstLine="420" w:firstLineChars="200"/>
        <w:rPr>
          <w:rStyle w:val="9"/>
          <w:rFonts w:ascii="宋体" w:hAnsi="宋体" w:eastAsia="宋体" w:cs="宋体"/>
        </w:rPr>
      </w:pPr>
      <w:r>
        <w:rPr>
          <w:rStyle w:val="9"/>
          <w:rFonts w:hint="eastAsia" w:ascii="宋体" w:hAnsi="宋体" w:eastAsia="宋体" w:cs="宋体"/>
          <w:lang w:val="en-US" w:eastAsia="zh-CN"/>
        </w:rPr>
        <w:t>8、房屋所在地消防资源配置情况</w:t>
      </w:r>
      <w:r>
        <w:rPr>
          <w:rStyle w:val="9"/>
          <w:rFonts w:ascii="宋体" w:hAnsi="宋体" w:eastAsia="宋体" w:cs="宋体"/>
        </w:rPr>
        <w:t>调整系数</w:t>
      </w:r>
      <w:r>
        <w:rPr>
          <w:rStyle w:val="9"/>
          <w:rFonts w:hint="eastAsia" w:ascii="宋体" w:hAnsi="宋体" w:eastAsia="宋体" w:cs="宋体"/>
        </w:rPr>
        <w:t>（F</w:t>
      </w:r>
      <w:r>
        <w:rPr>
          <w:rStyle w:val="9"/>
          <w:rFonts w:hint="eastAsia" w:ascii="宋体" w:hAnsi="宋体" w:eastAsia="宋体" w:cs="宋体"/>
          <w:lang w:val="en-US" w:eastAsia="zh-CN"/>
        </w:rPr>
        <w:t>8</w:t>
      </w:r>
      <w:r>
        <w:rPr>
          <w:rStyle w:val="9"/>
          <w:rFonts w:hint="eastAsia" w:ascii="宋体" w:hAnsi="宋体" w:eastAsia="宋体" w:cs="宋体"/>
        </w:rPr>
        <w:t>）</w:t>
      </w:r>
    </w:p>
    <w:tbl>
      <w:tblPr>
        <w:tblStyle w:val="6"/>
        <w:tblW w:w="4977" w:type="pct"/>
        <w:tblInd w:w="0" w:type="dxa"/>
        <w:tblLayout w:type="autofit"/>
        <w:tblCellMar>
          <w:top w:w="15" w:type="dxa"/>
          <w:left w:w="15" w:type="dxa"/>
          <w:bottom w:w="15" w:type="dxa"/>
          <w:right w:w="15" w:type="dxa"/>
        </w:tblCellMar>
      </w:tblPr>
      <w:tblGrid>
        <w:gridCol w:w="6344"/>
        <w:gridCol w:w="1954"/>
      </w:tblGrid>
      <w:tr w14:paraId="15BCA410">
        <w:tblPrEx>
          <w:tblCellMar>
            <w:top w:w="15" w:type="dxa"/>
            <w:left w:w="15" w:type="dxa"/>
            <w:bottom w:w="15" w:type="dxa"/>
            <w:right w:w="15" w:type="dxa"/>
          </w:tblCellMar>
        </w:tblPrEx>
        <w:trPr>
          <w:trHeight w:val="414"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EFE8A14">
            <w:pPr>
              <w:spacing w:after="0" w:afterLines="0"/>
              <w:jc w:val="center"/>
              <w:rPr>
                <w:rStyle w:val="9"/>
                <w:rFonts w:ascii="宋体" w:hAnsi="宋体" w:eastAsia="宋体" w:cs="宋体"/>
                <w:b w:val="0"/>
                <w:bCs w:val="0"/>
              </w:rPr>
            </w:pPr>
            <w:r>
              <w:rPr>
                <w:rStyle w:val="9"/>
                <w:rFonts w:hint="eastAsia" w:ascii="宋体" w:hAnsi="宋体" w:eastAsia="宋体" w:cs="宋体"/>
                <w:b w:val="0"/>
                <w:bCs w:val="0"/>
                <w:lang w:val="en-US" w:eastAsia="zh-CN"/>
              </w:rPr>
              <w:t>房屋所在地消防资源配置情况</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CA95F3">
            <w:pPr>
              <w:spacing w:after="0" w:afterLines="0"/>
              <w:ind w:left="0"/>
              <w:jc w:val="center"/>
              <w:rPr>
                <w:rStyle w:val="9"/>
                <w:rFonts w:ascii="宋体" w:hAnsi="宋体" w:eastAsia="宋体" w:cs="宋体"/>
                <w:b w:val="0"/>
                <w:bCs w:val="0"/>
              </w:rPr>
            </w:pPr>
            <w:r>
              <w:rPr>
                <w:rStyle w:val="9"/>
                <w:rFonts w:hint="eastAsia" w:ascii="宋体" w:hAnsi="宋体" w:eastAsia="宋体" w:cs="宋体"/>
                <w:b w:val="0"/>
                <w:bCs w:val="0"/>
              </w:rPr>
              <w:t>调整系数</w:t>
            </w:r>
          </w:p>
        </w:tc>
      </w:tr>
      <w:tr w14:paraId="4C357691">
        <w:tblPrEx>
          <w:tblCellMar>
            <w:top w:w="15" w:type="dxa"/>
            <w:left w:w="15" w:type="dxa"/>
            <w:bottom w:w="15" w:type="dxa"/>
            <w:right w:w="15" w:type="dxa"/>
          </w:tblCellMar>
        </w:tblPrEx>
        <w:trPr>
          <w:trHeight w:val="253"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CC24B40">
            <w:pPr>
              <w:spacing w:after="0" w:afterLines="0"/>
              <w:jc w:val="center"/>
              <w:rPr>
                <w:rStyle w:val="9"/>
                <w:rFonts w:hint="default" w:ascii="宋体" w:hAnsi="宋体" w:eastAsia="宋体" w:cs="宋体"/>
                <w:lang w:val="en-US" w:eastAsia="zh-CN"/>
              </w:rPr>
            </w:pPr>
            <w:r>
              <w:rPr>
                <w:rStyle w:val="9"/>
                <w:rFonts w:hint="eastAsia" w:ascii="宋体" w:hAnsi="宋体" w:eastAsia="宋体" w:cs="宋体"/>
                <w:lang w:val="en-US" w:eastAsia="zh-CN"/>
              </w:rPr>
              <w:t>消防设施设备完善，距离消防队近</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98AFC34">
            <w:pPr>
              <w:spacing w:after="0" w:afterLines="0"/>
              <w:ind w:left="0"/>
              <w:jc w:val="center"/>
              <w:rPr>
                <w:rStyle w:val="9"/>
                <w:rFonts w:ascii="宋体" w:hAnsi="宋体" w:eastAsia="宋体" w:cs="宋体"/>
              </w:rPr>
            </w:pPr>
            <w:r>
              <w:rPr>
                <w:rStyle w:val="9"/>
                <w:rFonts w:hint="eastAsia" w:ascii="宋体" w:hAnsi="宋体" w:eastAsia="宋体" w:cs="宋体"/>
              </w:rPr>
              <w:t>[0.7,</w:t>
            </w:r>
            <w:r>
              <w:rPr>
                <w:rStyle w:val="9"/>
                <w:rFonts w:hint="eastAsia" w:ascii="宋体" w:hAnsi="宋体" w:eastAsia="宋体" w:cs="宋体"/>
                <w:lang w:val="en-US" w:eastAsia="zh-CN"/>
              </w:rPr>
              <w:t>0.9</w:t>
            </w:r>
            <w:r>
              <w:rPr>
                <w:rStyle w:val="9"/>
                <w:rFonts w:hint="eastAsia" w:ascii="宋体" w:hAnsi="宋体" w:eastAsia="宋体" w:cs="宋体"/>
              </w:rPr>
              <w:t>)</w:t>
            </w:r>
          </w:p>
        </w:tc>
      </w:tr>
      <w:tr w14:paraId="26CA7A66">
        <w:tblPrEx>
          <w:tblCellMar>
            <w:top w:w="15" w:type="dxa"/>
            <w:left w:w="15" w:type="dxa"/>
            <w:bottom w:w="15" w:type="dxa"/>
            <w:right w:w="15" w:type="dxa"/>
          </w:tblCellMar>
        </w:tblPrEx>
        <w:trPr>
          <w:trHeight w:val="253"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AF8AD48">
            <w:pPr>
              <w:spacing w:after="0" w:afterLines="0"/>
              <w:jc w:val="center"/>
              <w:rPr>
                <w:rStyle w:val="9"/>
                <w:rFonts w:ascii="宋体" w:hAnsi="宋体" w:eastAsia="宋体" w:cs="宋体"/>
              </w:rPr>
            </w:pPr>
            <w:r>
              <w:rPr>
                <w:rStyle w:val="9"/>
                <w:rFonts w:hint="eastAsia" w:ascii="宋体" w:hAnsi="宋体" w:eastAsia="宋体" w:cs="宋体"/>
                <w:lang w:val="en-US" w:eastAsia="zh-CN"/>
              </w:rPr>
              <w:t>消防设施设备较完善，距离消防队较近</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7706685">
            <w:pPr>
              <w:spacing w:after="0" w:afterLines="0"/>
              <w:ind w:left="0"/>
              <w:jc w:val="center"/>
              <w:rPr>
                <w:rStyle w:val="9"/>
                <w:rFonts w:ascii="宋体" w:hAnsi="宋体" w:eastAsia="宋体" w:cs="宋体"/>
              </w:rPr>
            </w:pPr>
            <w:r>
              <w:rPr>
                <w:rStyle w:val="9"/>
                <w:rFonts w:hint="eastAsia" w:ascii="宋体" w:hAnsi="宋体" w:eastAsia="宋体" w:cs="宋体"/>
              </w:rPr>
              <w:t>[</w:t>
            </w:r>
            <w:r>
              <w:rPr>
                <w:rStyle w:val="9"/>
                <w:rFonts w:hint="eastAsia" w:ascii="宋体" w:hAnsi="宋体" w:eastAsia="宋体" w:cs="宋体"/>
                <w:lang w:val="en-US" w:eastAsia="zh-CN"/>
              </w:rPr>
              <w:t>0.9</w:t>
            </w:r>
            <w:r>
              <w:rPr>
                <w:rStyle w:val="9"/>
                <w:rFonts w:hint="eastAsia" w:ascii="宋体" w:hAnsi="宋体" w:eastAsia="宋体" w:cs="宋体"/>
              </w:rPr>
              <w:t>,1.</w:t>
            </w:r>
            <w:r>
              <w:rPr>
                <w:rStyle w:val="9"/>
                <w:rFonts w:hint="eastAsia" w:ascii="宋体" w:hAnsi="宋体" w:eastAsia="宋体" w:cs="宋体"/>
                <w:lang w:val="en-US" w:eastAsia="zh-CN"/>
              </w:rPr>
              <w:t>0</w:t>
            </w:r>
            <w:r>
              <w:rPr>
                <w:rStyle w:val="9"/>
                <w:rFonts w:hint="eastAsia" w:ascii="宋体" w:hAnsi="宋体" w:eastAsia="宋体" w:cs="宋体"/>
              </w:rPr>
              <w:t>]</w:t>
            </w:r>
          </w:p>
        </w:tc>
      </w:tr>
      <w:tr w14:paraId="7F26CD13">
        <w:tblPrEx>
          <w:tblCellMar>
            <w:top w:w="15" w:type="dxa"/>
            <w:left w:w="15" w:type="dxa"/>
            <w:bottom w:w="15" w:type="dxa"/>
            <w:right w:w="15" w:type="dxa"/>
          </w:tblCellMar>
        </w:tblPrEx>
        <w:trPr>
          <w:trHeight w:val="263" w:hRule="atLeast"/>
        </w:trPr>
        <w:tc>
          <w:tcPr>
            <w:tcW w:w="634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49A9758">
            <w:pPr>
              <w:spacing w:after="0" w:afterLines="0"/>
              <w:jc w:val="center"/>
              <w:rPr>
                <w:rStyle w:val="9"/>
                <w:rFonts w:hint="default" w:ascii="宋体" w:hAnsi="宋体" w:eastAsia="宋体" w:cs="宋体"/>
                <w:lang w:val="en-US"/>
              </w:rPr>
            </w:pPr>
            <w:r>
              <w:rPr>
                <w:rStyle w:val="9"/>
                <w:rFonts w:hint="eastAsia" w:ascii="宋体" w:hAnsi="宋体" w:eastAsia="宋体" w:cs="宋体"/>
                <w:lang w:val="en-US" w:eastAsia="zh-CN"/>
              </w:rPr>
              <w:t>消防设施设备不完善，距离消防队较远</w:t>
            </w:r>
          </w:p>
        </w:tc>
        <w:tc>
          <w:tcPr>
            <w:tcW w:w="195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C40AB2">
            <w:pPr>
              <w:spacing w:after="0" w:afterLines="0"/>
              <w:ind w:left="0"/>
              <w:jc w:val="center"/>
              <w:rPr>
                <w:rStyle w:val="9"/>
                <w:rFonts w:ascii="宋体" w:hAnsi="宋体" w:eastAsia="宋体" w:cs="宋体"/>
              </w:rPr>
            </w:pPr>
            <w:r>
              <w:rPr>
                <w:rStyle w:val="9"/>
                <w:rFonts w:hint="eastAsia" w:ascii="宋体" w:hAnsi="宋体" w:eastAsia="宋体" w:cs="宋体"/>
                <w:lang w:val="en-US" w:eastAsia="zh-CN"/>
              </w:rPr>
              <w:t>(</w:t>
            </w:r>
            <w:r>
              <w:rPr>
                <w:rStyle w:val="9"/>
                <w:rFonts w:hint="eastAsia" w:ascii="宋体" w:hAnsi="宋体" w:eastAsia="宋体" w:cs="宋体"/>
              </w:rPr>
              <w:t>1.</w:t>
            </w:r>
            <w:r>
              <w:rPr>
                <w:rStyle w:val="9"/>
                <w:rFonts w:hint="eastAsia" w:ascii="宋体" w:hAnsi="宋体" w:eastAsia="宋体" w:cs="宋体"/>
                <w:lang w:val="en-US" w:eastAsia="zh-CN"/>
              </w:rPr>
              <w:t>0</w:t>
            </w:r>
            <w:r>
              <w:rPr>
                <w:rStyle w:val="9"/>
                <w:rFonts w:hint="eastAsia" w:ascii="宋体" w:hAnsi="宋体" w:eastAsia="宋体" w:cs="宋体"/>
              </w:rPr>
              <w:t>,1.</w:t>
            </w:r>
            <w:r>
              <w:rPr>
                <w:rStyle w:val="9"/>
                <w:rFonts w:hint="eastAsia" w:ascii="宋体" w:hAnsi="宋体" w:eastAsia="宋体" w:cs="宋体"/>
                <w:lang w:val="en-US" w:eastAsia="zh-CN"/>
              </w:rPr>
              <w:t>3</w:t>
            </w:r>
            <w:r>
              <w:rPr>
                <w:rStyle w:val="9"/>
                <w:rFonts w:hint="eastAsia" w:ascii="宋体" w:hAnsi="宋体" w:eastAsia="宋体" w:cs="宋体"/>
              </w:rPr>
              <w:t>]</w:t>
            </w:r>
          </w:p>
        </w:tc>
      </w:tr>
    </w:tbl>
    <w:p w14:paraId="03646640">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0" w:afterLines="0" w:line="240" w:lineRule="auto"/>
        <w:ind w:firstLine="420" w:firstLineChars="200"/>
        <w:textAlignment w:val="auto"/>
        <w:rPr>
          <w:rFonts w:hint="eastAsia" w:ascii="宋体" w:hAnsi="宋体" w:eastAsia="宋体" w:cs="宋体"/>
          <w:b w:val="0"/>
          <w:bCs w:val="0"/>
          <w:sz w:val="21"/>
          <w:szCs w:val="21"/>
          <w:lang w:val="en-US" w:eastAsia="zh-CN"/>
        </w:rPr>
      </w:pPr>
    </w:p>
    <w:p w14:paraId="542D55E1">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0" w:afterLines="0" w:line="24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9、经验/预期赔付率调整系数（F9）</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27"/>
        <w:gridCol w:w="2095"/>
      </w:tblGrid>
      <w:tr w14:paraId="2E776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95" w:hRule="atLeast"/>
        </w:trPr>
        <w:tc>
          <w:tcPr>
            <w:tcW w:w="6427" w:type="dxa"/>
            <w:tcBorders>
              <w:top w:val="single" w:color="auto" w:sz="4" w:space="0"/>
              <w:left w:val="single" w:color="auto" w:sz="4" w:space="0"/>
              <w:bottom w:val="single" w:color="auto" w:sz="4" w:space="0"/>
              <w:right w:val="single" w:color="auto" w:sz="4" w:space="0"/>
            </w:tcBorders>
            <w:shd w:val="clear" w:color="auto" w:fill="auto"/>
            <w:vAlign w:val="center"/>
          </w:tcPr>
          <w:p w14:paraId="726C9888">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经验/预期赔付率</w:t>
            </w:r>
          </w:p>
        </w:tc>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14:paraId="278BF619">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11CAA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6427" w:type="dxa"/>
            <w:tcBorders>
              <w:top w:val="single" w:color="auto" w:sz="4" w:space="0"/>
              <w:left w:val="single" w:color="auto" w:sz="4" w:space="0"/>
              <w:bottom w:val="single" w:color="auto" w:sz="4" w:space="0"/>
              <w:right w:val="single" w:color="auto" w:sz="4" w:space="0"/>
            </w:tcBorders>
            <w:shd w:val="clear" w:color="auto" w:fill="auto"/>
            <w:vAlign w:val="center"/>
          </w:tcPr>
          <w:p w14:paraId="2C97DB28">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0%-80%（含）</w:t>
            </w:r>
          </w:p>
        </w:tc>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14:paraId="495022B8">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[0.7,1.0]</w:t>
            </w:r>
          </w:p>
        </w:tc>
      </w:tr>
      <w:tr w14:paraId="1A99B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6427" w:type="dxa"/>
            <w:tcBorders>
              <w:top w:val="single" w:color="auto" w:sz="4" w:space="0"/>
              <w:left w:val="single" w:color="auto" w:sz="4" w:space="0"/>
              <w:bottom w:val="single" w:color="auto" w:sz="4" w:space="0"/>
              <w:right w:val="single" w:color="auto" w:sz="4" w:space="0"/>
            </w:tcBorders>
            <w:shd w:val="clear" w:color="auto" w:fill="auto"/>
            <w:vAlign w:val="center"/>
          </w:tcPr>
          <w:p w14:paraId="169FA604">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80%以上</w:t>
            </w:r>
          </w:p>
        </w:tc>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14:paraId="6C273A20">
            <w:pPr>
              <w:keepNext w:val="0"/>
              <w:keepLines w:val="0"/>
              <w:widowControl/>
              <w:suppressLineNumbers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(1.0,1.3]</w:t>
            </w:r>
          </w:p>
        </w:tc>
      </w:tr>
    </w:tbl>
    <w:p w14:paraId="197428F7">
      <w:pPr>
        <w:keepNext w:val="0"/>
        <w:keepLines w:val="0"/>
        <w:pageBreakBefore w:val="0"/>
        <w:widowControl w:val="0"/>
        <w:kinsoku/>
        <w:wordWrap/>
        <w:overflowPunct/>
        <w:topLinePunct w:val="0"/>
        <w:autoSpaceDE/>
        <w:autoSpaceDN/>
        <w:bidi w:val="0"/>
        <w:adjustRightInd w:val="0"/>
        <w:snapToGrid w:val="0"/>
        <w:spacing w:before="157" w:beforeLines="50" w:after="0" w:afterLines="-2147483648" w:line="360" w:lineRule="auto"/>
        <w:ind w:firstLine="422" w:firstLineChars="200"/>
        <w:jc w:val="left"/>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三、保险费计算公式</w:t>
      </w:r>
    </w:p>
    <w:p w14:paraId="087212E9">
      <w:pP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1、保险金额由家庭成员均分</w:t>
      </w:r>
    </w:p>
    <w:p w14:paraId="7F7FEE95">
      <w:pP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本附加险合同保险费＝意外伤害身故伤残保险金额×意外伤害身故/伤残基准费率×F1×F6×F7×F8×F9+意外伤害医疗保险金额×意外伤害医疗基准费率×F1×F3×F4×F5×F6×F7×F8×F9</w:t>
      </w:r>
    </w:p>
    <w:p w14:paraId="16D662FA">
      <w:pP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2、保险金额由家庭成员共享</w:t>
      </w:r>
    </w:p>
    <w:p w14:paraId="7A1AFA36">
      <w:pP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本附加险合同保险费＝意外伤害身故伤残保险金额×意外伤害身故/伤残基准费率×F1×F2×F6×F7×F8×F9+意外伤害医疗保险金额×意外伤害医疗基准费率×F1×F2×F3×F4×F5×F6×F7×F8×F9</w:t>
      </w:r>
    </w:p>
    <w:p w14:paraId="2612D928">
      <w:pPr>
        <w:spacing w:afterLines="0"/>
        <w:jc w:val="left"/>
        <w:rPr>
          <w:rFonts w:hint="eastAsia" w:ascii="宋体" w:hAnsi="宋体" w:eastAsia="宋体" w:cs="宋体"/>
          <w:b/>
          <w:color w:val="000000"/>
          <w:kern w:val="0"/>
          <w:sz w:val="21"/>
          <w:szCs w:val="21"/>
          <w:lang w:val="en-US" w:eastAsia="zh-CN"/>
        </w:rPr>
      </w:pPr>
    </w:p>
    <w:p w14:paraId="28A2B2B5">
      <w:pPr>
        <w:spacing w:afterLines="0"/>
        <w:ind w:firstLine="422" w:firstLineChars="200"/>
        <w:jc w:val="left"/>
        <w:rPr>
          <w:rFonts w:hint="eastAsia" w:ascii="宋体" w:hAnsi="宋体" w:eastAsia="宋体" w:cs="宋体"/>
          <w:b/>
          <w:color w:val="000000"/>
          <w:kern w:val="0"/>
          <w:sz w:val="21"/>
          <w:szCs w:val="21"/>
          <w:lang w:val="en-US" w:eastAsia="zh-CN"/>
        </w:rPr>
      </w:pPr>
      <w:r>
        <w:rPr>
          <w:rFonts w:hint="eastAsia" w:ascii="宋体" w:hAnsi="宋体" w:eastAsia="宋体" w:cs="宋体"/>
          <w:b/>
          <w:color w:val="000000"/>
          <w:kern w:val="0"/>
          <w:sz w:val="21"/>
          <w:szCs w:val="21"/>
          <w:lang w:val="en-US" w:eastAsia="zh-CN"/>
        </w:rPr>
        <w:t>四、短期费率表</w:t>
      </w:r>
    </w:p>
    <w:p w14:paraId="410328C7">
      <w:pPr>
        <w:spacing w:line="276" w:lineRule="auto"/>
        <w:ind w:firstLine="420" w:firstLineChars="200"/>
        <w:rPr>
          <w:rFonts w:hint="eastAsia" w:ascii="宋体" w:hAnsi="宋体"/>
          <w:szCs w:val="21"/>
        </w:rPr>
      </w:pPr>
      <w:r>
        <w:rPr>
          <w:rFonts w:hint="eastAsia" w:ascii="宋体" w:hAnsi="宋体"/>
          <w:szCs w:val="21"/>
        </w:rPr>
        <w:t>保险期间不足一年的，按以下标准计算短期保险费（按年保险费的百分比计算，不足一个月的按一个月计算）：</w:t>
      </w:r>
    </w:p>
    <w:tbl>
      <w:tblPr>
        <w:tblStyle w:val="6"/>
        <w:tblW w:w="8220" w:type="dxa"/>
        <w:jc w:val="center"/>
        <w:tblLayout w:type="fixed"/>
        <w:tblCellMar>
          <w:top w:w="0" w:type="dxa"/>
          <w:left w:w="108" w:type="dxa"/>
          <w:bottom w:w="0" w:type="dxa"/>
          <w:right w:w="108" w:type="dxa"/>
        </w:tblCellMar>
      </w:tblPr>
      <w:tblGrid>
        <w:gridCol w:w="1226"/>
        <w:gridCol w:w="578"/>
        <w:gridCol w:w="578"/>
        <w:gridCol w:w="578"/>
        <w:gridCol w:w="578"/>
        <w:gridCol w:w="578"/>
        <w:gridCol w:w="578"/>
        <w:gridCol w:w="578"/>
        <w:gridCol w:w="578"/>
        <w:gridCol w:w="578"/>
        <w:gridCol w:w="578"/>
        <w:gridCol w:w="578"/>
        <w:gridCol w:w="636"/>
      </w:tblGrid>
      <w:tr w14:paraId="25FF4426">
        <w:tblPrEx>
          <w:tblCellMar>
            <w:top w:w="0" w:type="dxa"/>
            <w:left w:w="108" w:type="dxa"/>
            <w:bottom w:w="0" w:type="dxa"/>
            <w:right w:w="108" w:type="dxa"/>
          </w:tblCellMar>
        </w:tblPrEx>
        <w:trPr>
          <w:trHeight w:val="255" w:hRule="atLeast"/>
          <w:jc w:val="center"/>
        </w:trPr>
        <w:tc>
          <w:tcPr>
            <w:tcW w:w="1226" w:type="dxa"/>
            <w:vMerge w:val="restart"/>
            <w:tcBorders>
              <w:top w:val="single" w:color="auto" w:sz="4" w:space="0"/>
              <w:left w:val="single" w:color="auto" w:sz="4" w:space="0"/>
              <w:bottom w:val="single" w:color="000000" w:sz="4" w:space="0"/>
              <w:right w:val="single" w:color="auto" w:sz="4" w:space="0"/>
            </w:tcBorders>
            <w:vAlign w:val="center"/>
          </w:tcPr>
          <w:p w14:paraId="1211E2F6">
            <w:pPr>
              <w:widowControl/>
              <w:jc w:val="center"/>
              <w:rPr>
                <w:rFonts w:hint="eastAsia" w:ascii="宋体" w:hAnsi="宋体" w:cs="宋体"/>
                <w:color w:val="auto"/>
                <w:kern w:val="0"/>
                <w:szCs w:val="21"/>
              </w:rPr>
            </w:pPr>
            <w:r>
              <w:rPr>
                <w:rFonts w:hint="eastAsia" w:ascii="宋体" w:hAnsi="宋体" w:cs="宋体"/>
                <w:color w:val="auto"/>
                <w:kern w:val="0"/>
                <w:szCs w:val="21"/>
              </w:rPr>
              <w:t>保险期间</w:t>
            </w:r>
          </w:p>
        </w:tc>
        <w:tc>
          <w:tcPr>
            <w:tcW w:w="578" w:type="dxa"/>
            <w:tcBorders>
              <w:top w:val="single" w:color="auto" w:sz="4" w:space="0"/>
              <w:left w:val="nil"/>
              <w:bottom w:val="nil"/>
              <w:right w:val="single" w:color="auto" w:sz="4" w:space="0"/>
            </w:tcBorders>
            <w:vAlign w:val="center"/>
          </w:tcPr>
          <w:p w14:paraId="2AB9C418">
            <w:pPr>
              <w:widowControl/>
              <w:jc w:val="center"/>
              <w:rPr>
                <w:rFonts w:hint="eastAsia" w:ascii="宋体" w:hAnsi="宋体" w:cs="宋体"/>
                <w:color w:val="auto"/>
                <w:kern w:val="0"/>
                <w:szCs w:val="21"/>
              </w:rPr>
            </w:pPr>
            <w:r>
              <w:rPr>
                <w:rFonts w:hint="eastAsia" w:ascii="宋体" w:hAnsi="宋体" w:cs="宋体"/>
                <w:color w:val="auto"/>
                <w:kern w:val="0"/>
                <w:szCs w:val="21"/>
              </w:rPr>
              <w:t>一</w:t>
            </w:r>
          </w:p>
        </w:tc>
        <w:tc>
          <w:tcPr>
            <w:tcW w:w="578" w:type="dxa"/>
            <w:tcBorders>
              <w:top w:val="single" w:color="auto" w:sz="4" w:space="0"/>
              <w:left w:val="nil"/>
              <w:bottom w:val="nil"/>
              <w:right w:val="single" w:color="auto" w:sz="4" w:space="0"/>
            </w:tcBorders>
            <w:vAlign w:val="center"/>
          </w:tcPr>
          <w:p w14:paraId="0E5AD0AF">
            <w:pPr>
              <w:widowControl/>
              <w:jc w:val="center"/>
              <w:rPr>
                <w:rFonts w:hint="eastAsia" w:ascii="宋体" w:hAnsi="宋体" w:cs="宋体"/>
                <w:color w:val="auto"/>
                <w:kern w:val="0"/>
                <w:szCs w:val="21"/>
              </w:rPr>
            </w:pPr>
            <w:r>
              <w:rPr>
                <w:rFonts w:hint="eastAsia" w:ascii="宋体" w:hAnsi="宋体" w:cs="宋体"/>
                <w:color w:val="auto"/>
                <w:kern w:val="0"/>
                <w:szCs w:val="21"/>
              </w:rPr>
              <w:t>二</w:t>
            </w:r>
          </w:p>
        </w:tc>
        <w:tc>
          <w:tcPr>
            <w:tcW w:w="578" w:type="dxa"/>
            <w:tcBorders>
              <w:top w:val="single" w:color="auto" w:sz="4" w:space="0"/>
              <w:left w:val="nil"/>
              <w:bottom w:val="nil"/>
              <w:right w:val="single" w:color="auto" w:sz="4" w:space="0"/>
            </w:tcBorders>
            <w:vAlign w:val="center"/>
          </w:tcPr>
          <w:p w14:paraId="7CB59E42">
            <w:pPr>
              <w:widowControl/>
              <w:jc w:val="center"/>
              <w:rPr>
                <w:rFonts w:hint="eastAsia" w:ascii="宋体" w:hAnsi="宋体" w:cs="宋体"/>
                <w:color w:val="auto"/>
                <w:kern w:val="0"/>
                <w:szCs w:val="21"/>
              </w:rPr>
            </w:pPr>
            <w:r>
              <w:rPr>
                <w:rFonts w:hint="eastAsia" w:ascii="宋体" w:hAnsi="宋体" w:cs="宋体"/>
                <w:color w:val="auto"/>
                <w:kern w:val="0"/>
                <w:szCs w:val="21"/>
              </w:rPr>
              <w:t>三</w:t>
            </w:r>
          </w:p>
        </w:tc>
        <w:tc>
          <w:tcPr>
            <w:tcW w:w="578" w:type="dxa"/>
            <w:tcBorders>
              <w:top w:val="single" w:color="auto" w:sz="4" w:space="0"/>
              <w:left w:val="nil"/>
              <w:bottom w:val="nil"/>
              <w:right w:val="single" w:color="auto" w:sz="4" w:space="0"/>
            </w:tcBorders>
            <w:vAlign w:val="center"/>
          </w:tcPr>
          <w:p w14:paraId="06855903">
            <w:pPr>
              <w:widowControl/>
              <w:jc w:val="center"/>
              <w:rPr>
                <w:rFonts w:hint="eastAsia" w:ascii="宋体" w:hAnsi="宋体" w:cs="宋体"/>
                <w:color w:val="auto"/>
                <w:kern w:val="0"/>
                <w:szCs w:val="21"/>
              </w:rPr>
            </w:pPr>
            <w:r>
              <w:rPr>
                <w:rFonts w:hint="eastAsia" w:ascii="宋体" w:hAnsi="宋体" w:cs="宋体"/>
                <w:color w:val="auto"/>
                <w:kern w:val="0"/>
                <w:szCs w:val="21"/>
              </w:rPr>
              <w:t>四</w:t>
            </w:r>
          </w:p>
        </w:tc>
        <w:tc>
          <w:tcPr>
            <w:tcW w:w="578" w:type="dxa"/>
            <w:tcBorders>
              <w:top w:val="single" w:color="auto" w:sz="4" w:space="0"/>
              <w:left w:val="nil"/>
              <w:bottom w:val="nil"/>
              <w:right w:val="single" w:color="auto" w:sz="4" w:space="0"/>
            </w:tcBorders>
            <w:vAlign w:val="center"/>
          </w:tcPr>
          <w:p w14:paraId="69312A47">
            <w:pPr>
              <w:widowControl/>
              <w:jc w:val="center"/>
              <w:rPr>
                <w:rFonts w:hint="eastAsia" w:ascii="宋体" w:hAnsi="宋体" w:cs="宋体"/>
                <w:color w:val="auto"/>
                <w:kern w:val="0"/>
                <w:szCs w:val="21"/>
              </w:rPr>
            </w:pPr>
            <w:r>
              <w:rPr>
                <w:rFonts w:hint="eastAsia" w:ascii="宋体" w:hAnsi="宋体" w:cs="宋体"/>
                <w:color w:val="auto"/>
                <w:kern w:val="0"/>
                <w:szCs w:val="21"/>
              </w:rPr>
              <w:t>五</w:t>
            </w:r>
          </w:p>
        </w:tc>
        <w:tc>
          <w:tcPr>
            <w:tcW w:w="578" w:type="dxa"/>
            <w:tcBorders>
              <w:top w:val="single" w:color="auto" w:sz="4" w:space="0"/>
              <w:left w:val="nil"/>
              <w:bottom w:val="nil"/>
              <w:right w:val="single" w:color="auto" w:sz="4" w:space="0"/>
            </w:tcBorders>
            <w:vAlign w:val="center"/>
          </w:tcPr>
          <w:p w14:paraId="42B9DC98">
            <w:pPr>
              <w:widowControl/>
              <w:jc w:val="center"/>
              <w:rPr>
                <w:rFonts w:hint="eastAsia" w:ascii="宋体" w:hAnsi="宋体" w:cs="宋体"/>
                <w:color w:val="auto"/>
                <w:kern w:val="0"/>
                <w:szCs w:val="21"/>
              </w:rPr>
            </w:pPr>
            <w:r>
              <w:rPr>
                <w:rFonts w:hint="eastAsia" w:ascii="宋体" w:hAnsi="宋体" w:cs="宋体"/>
                <w:color w:val="auto"/>
                <w:kern w:val="0"/>
                <w:szCs w:val="21"/>
              </w:rPr>
              <w:t>六</w:t>
            </w:r>
          </w:p>
        </w:tc>
        <w:tc>
          <w:tcPr>
            <w:tcW w:w="578" w:type="dxa"/>
            <w:tcBorders>
              <w:top w:val="single" w:color="auto" w:sz="4" w:space="0"/>
              <w:left w:val="nil"/>
              <w:bottom w:val="nil"/>
              <w:right w:val="single" w:color="auto" w:sz="4" w:space="0"/>
            </w:tcBorders>
            <w:vAlign w:val="center"/>
          </w:tcPr>
          <w:p w14:paraId="26C440A7">
            <w:pPr>
              <w:widowControl/>
              <w:jc w:val="center"/>
              <w:rPr>
                <w:rFonts w:hint="eastAsia" w:ascii="宋体" w:hAnsi="宋体" w:cs="宋体"/>
                <w:color w:val="auto"/>
                <w:kern w:val="0"/>
                <w:szCs w:val="21"/>
              </w:rPr>
            </w:pPr>
            <w:r>
              <w:rPr>
                <w:rFonts w:hint="eastAsia" w:ascii="宋体" w:hAnsi="宋体" w:cs="宋体"/>
                <w:color w:val="auto"/>
                <w:kern w:val="0"/>
                <w:szCs w:val="21"/>
              </w:rPr>
              <w:t>七</w:t>
            </w:r>
          </w:p>
        </w:tc>
        <w:tc>
          <w:tcPr>
            <w:tcW w:w="578" w:type="dxa"/>
            <w:tcBorders>
              <w:top w:val="single" w:color="auto" w:sz="4" w:space="0"/>
              <w:left w:val="nil"/>
              <w:bottom w:val="nil"/>
              <w:right w:val="single" w:color="auto" w:sz="4" w:space="0"/>
            </w:tcBorders>
            <w:vAlign w:val="center"/>
          </w:tcPr>
          <w:p w14:paraId="7DE8D41F">
            <w:pPr>
              <w:widowControl/>
              <w:jc w:val="center"/>
              <w:rPr>
                <w:rFonts w:hint="eastAsia" w:ascii="宋体" w:hAnsi="宋体" w:cs="宋体"/>
                <w:color w:val="auto"/>
                <w:kern w:val="0"/>
                <w:szCs w:val="21"/>
              </w:rPr>
            </w:pPr>
            <w:r>
              <w:rPr>
                <w:rFonts w:hint="eastAsia" w:ascii="宋体" w:hAnsi="宋体" w:cs="宋体"/>
                <w:color w:val="auto"/>
                <w:kern w:val="0"/>
                <w:szCs w:val="21"/>
              </w:rPr>
              <w:t>八</w:t>
            </w:r>
          </w:p>
        </w:tc>
        <w:tc>
          <w:tcPr>
            <w:tcW w:w="578" w:type="dxa"/>
            <w:tcBorders>
              <w:top w:val="single" w:color="auto" w:sz="4" w:space="0"/>
              <w:left w:val="nil"/>
              <w:bottom w:val="nil"/>
              <w:right w:val="single" w:color="auto" w:sz="4" w:space="0"/>
            </w:tcBorders>
            <w:vAlign w:val="center"/>
          </w:tcPr>
          <w:p w14:paraId="64A1C643">
            <w:pPr>
              <w:widowControl/>
              <w:jc w:val="center"/>
              <w:rPr>
                <w:rFonts w:hint="eastAsia" w:ascii="宋体" w:hAnsi="宋体" w:cs="宋体"/>
                <w:color w:val="auto"/>
                <w:kern w:val="0"/>
                <w:szCs w:val="21"/>
              </w:rPr>
            </w:pPr>
            <w:r>
              <w:rPr>
                <w:rFonts w:hint="eastAsia" w:ascii="宋体" w:hAnsi="宋体" w:cs="宋体"/>
                <w:color w:val="auto"/>
                <w:kern w:val="0"/>
                <w:szCs w:val="21"/>
              </w:rPr>
              <w:t>九</w:t>
            </w:r>
          </w:p>
        </w:tc>
        <w:tc>
          <w:tcPr>
            <w:tcW w:w="578" w:type="dxa"/>
            <w:tcBorders>
              <w:top w:val="single" w:color="auto" w:sz="4" w:space="0"/>
              <w:left w:val="nil"/>
              <w:bottom w:val="nil"/>
              <w:right w:val="single" w:color="auto" w:sz="4" w:space="0"/>
            </w:tcBorders>
            <w:vAlign w:val="center"/>
          </w:tcPr>
          <w:p w14:paraId="5D534DCE">
            <w:pPr>
              <w:widowControl/>
              <w:jc w:val="center"/>
              <w:rPr>
                <w:rFonts w:hint="eastAsia" w:ascii="宋体" w:hAnsi="宋体" w:cs="宋体"/>
                <w:color w:val="auto"/>
                <w:kern w:val="0"/>
                <w:szCs w:val="21"/>
              </w:rPr>
            </w:pPr>
            <w:r>
              <w:rPr>
                <w:rFonts w:hint="eastAsia" w:ascii="宋体" w:hAnsi="宋体" w:cs="宋体"/>
                <w:color w:val="auto"/>
                <w:kern w:val="0"/>
                <w:szCs w:val="21"/>
              </w:rPr>
              <w:t>十</w:t>
            </w:r>
          </w:p>
        </w:tc>
        <w:tc>
          <w:tcPr>
            <w:tcW w:w="578" w:type="dxa"/>
            <w:tcBorders>
              <w:top w:val="single" w:color="auto" w:sz="4" w:space="0"/>
              <w:left w:val="nil"/>
              <w:bottom w:val="nil"/>
              <w:right w:val="single" w:color="auto" w:sz="4" w:space="0"/>
            </w:tcBorders>
            <w:vAlign w:val="center"/>
          </w:tcPr>
          <w:p w14:paraId="61763F12">
            <w:pPr>
              <w:widowControl/>
              <w:jc w:val="center"/>
              <w:rPr>
                <w:rFonts w:hint="eastAsia" w:ascii="宋体" w:hAnsi="宋体" w:cs="宋体"/>
                <w:color w:val="auto"/>
                <w:kern w:val="0"/>
                <w:szCs w:val="21"/>
              </w:rPr>
            </w:pPr>
            <w:r>
              <w:rPr>
                <w:rFonts w:hint="eastAsia" w:ascii="宋体" w:hAnsi="宋体" w:cs="宋体"/>
                <w:color w:val="auto"/>
                <w:kern w:val="0"/>
                <w:szCs w:val="21"/>
              </w:rPr>
              <w:t>十</w:t>
            </w:r>
          </w:p>
        </w:tc>
        <w:tc>
          <w:tcPr>
            <w:tcW w:w="636" w:type="dxa"/>
            <w:tcBorders>
              <w:top w:val="single" w:color="auto" w:sz="4" w:space="0"/>
              <w:left w:val="nil"/>
              <w:bottom w:val="nil"/>
              <w:right w:val="single" w:color="auto" w:sz="4" w:space="0"/>
            </w:tcBorders>
            <w:vAlign w:val="center"/>
          </w:tcPr>
          <w:p w14:paraId="7EE88F2E">
            <w:pPr>
              <w:widowControl/>
              <w:jc w:val="center"/>
              <w:rPr>
                <w:rFonts w:hint="eastAsia" w:ascii="宋体" w:hAnsi="宋体" w:cs="宋体"/>
                <w:color w:val="auto"/>
                <w:kern w:val="0"/>
                <w:szCs w:val="21"/>
              </w:rPr>
            </w:pPr>
            <w:r>
              <w:rPr>
                <w:rFonts w:hint="eastAsia" w:ascii="宋体" w:hAnsi="宋体" w:cs="宋体"/>
                <w:color w:val="auto"/>
                <w:kern w:val="0"/>
                <w:szCs w:val="21"/>
              </w:rPr>
              <w:t>十</w:t>
            </w:r>
          </w:p>
        </w:tc>
      </w:tr>
      <w:tr w14:paraId="4CDCB587">
        <w:tblPrEx>
          <w:tblCellMar>
            <w:top w:w="0" w:type="dxa"/>
            <w:left w:w="108" w:type="dxa"/>
            <w:bottom w:w="0" w:type="dxa"/>
            <w:right w:w="108" w:type="dxa"/>
          </w:tblCellMar>
        </w:tblPrEx>
        <w:trPr>
          <w:trHeight w:val="255" w:hRule="atLeast"/>
          <w:jc w:val="center"/>
        </w:trPr>
        <w:tc>
          <w:tcPr>
            <w:tcW w:w="1226" w:type="dxa"/>
            <w:vMerge w:val="continue"/>
            <w:tcBorders>
              <w:top w:val="single" w:color="auto" w:sz="4" w:space="0"/>
              <w:left w:val="single" w:color="auto" w:sz="4" w:space="0"/>
              <w:bottom w:val="single" w:color="000000" w:sz="4" w:space="0"/>
              <w:right w:val="single" w:color="auto" w:sz="4" w:space="0"/>
            </w:tcBorders>
            <w:vAlign w:val="center"/>
          </w:tcPr>
          <w:p w14:paraId="2887D9CC">
            <w:pPr>
              <w:widowControl/>
              <w:jc w:val="left"/>
              <w:rPr>
                <w:rFonts w:hint="eastAsia" w:ascii="宋体" w:hAnsi="宋体" w:cs="宋体"/>
                <w:color w:val="auto"/>
                <w:kern w:val="0"/>
                <w:szCs w:val="21"/>
              </w:rPr>
            </w:pPr>
          </w:p>
        </w:tc>
        <w:tc>
          <w:tcPr>
            <w:tcW w:w="578" w:type="dxa"/>
            <w:tcBorders>
              <w:top w:val="nil"/>
              <w:left w:val="nil"/>
              <w:bottom w:val="nil"/>
              <w:right w:val="single" w:color="auto" w:sz="4" w:space="0"/>
            </w:tcBorders>
            <w:vAlign w:val="center"/>
          </w:tcPr>
          <w:p w14:paraId="0DCBA66D">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51CCBFB7">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1C81857C">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6DFD604B">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14C2FF40">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67A836BD">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5C420E86">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3F21E275">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1CDCB203">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744FF01E">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578" w:type="dxa"/>
            <w:tcBorders>
              <w:top w:val="nil"/>
              <w:left w:val="nil"/>
              <w:bottom w:val="nil"/>
              <w:right w:val="single" w:color="auto" w:sz="4" w:space="0"/>
            </w:tcBorders>
            <w:vAlign w:val="center"/>
          </w:tcPr>
          <w:p w14:paraId="2E74A09A">
            <w:pPr>
              <w:widowControl/>
              <w:jc w:val="center"/>
              <w:rPr>
                <w:rFonts w:hint="eastAsia" w:ascii="宋体" w:hAnsi="宋体" w:cs="宋体"/>
                <w:color w:val="auto"/>
                <w:kern w:val="0"/>
                <w:szCs w:val="21"/>
              </w:rPr>
            </w:pPr>
            <w:r>
              <w:rPr>
                <w:rFonts w:hint="eastAsia" w:ascii="宋体" w:hAnsi="宋体" w:cs="宋体"/>
                <w:color w:val="auto"/>
                <w:kern w:val="0"/>
                <w:szCs w:val="21"/>
              </w:rPr>
              <w:t>一</w:t>
            </w:r>
          </w:p>
        </w:tc>
        <w:tc>
          <w:tcPr>
            <w:tcW w:w="636" w:type="dxa"/>
            <w:tcBorders>
              <w:top w:val="nil"/>
              <w:left w:val="nil"/>
              <w:bottom w:val="nil"/>
              <w:right w:val="single" w:color="auto" w:sz="4" w:space="0"/>
            </w:tcBorders>
            <w:vAlign w:val="center"/>
          </w:tcPr>
          <w:p w14:paraId="58C3C16E">
            <w:pPr>
              <w:widowControl/>
              <w:jc w:val="center"/>
              <w:rPr>
                <w:rFonts w:hint="eastAsia" w:ascii="宋体" w:hAnsi="宋体" w:cs="宋体"/>
                <w:color w:val="auto"/>
                <w:kern w:val="0"/>
                <w:szCs w:val="21"/>
              </w:rPr>
            </w:pPr>
            <w:r>
              <w:rPr>
                <w:rFonts w:hint="eastAsia" w:ascii="宋体" w:hAnsi="宋体" w:cs="宋体"/>
                <w:color w:val="auto"/>
                <w:kern w:val="0"/>
                <w:szCs w:val="21"/>
              </w:rPr>
              <w:t>二</w:t>
            </w:r>
          </w:p>
        </w:tc>
      </w:tr>
      <w:tr w14:paraId="4590EC83">
        <w:tblPrEx>
          <w:tblCellMar>
            <w:top w:w="0" w:type="dxa"/>
            <w:left w:w="108" w:type="dxa"/>
            <w:bottom w:w="0" w:type="dxa"/>
            <w:right w:w="108" w:type="dxa"/>
          </w:tblCellMar>
        </w:tblPrEx>
        <w:trPr>
          <w:trHeight w:val="255" w:hRule="atLeast"/>
          <w:jc w:val="center"/>
        </w:trPr>
        <w:tc>
          <w:tcPr>
            <w:tcW w:w="1226" w:type="dxa"/>
            <w:vMerge w:val="continue"/>
            <w:tcBorders>
              <w:top w:val="single" w:color="auto" w:sz="4" w:space="0"/>
              <w:left w:val="single" w:color="auto" w:sz="4" w:space="0"/>
              <w:bottom w:val="single" w:color="000000" w:sz="4" w:space="0"/>
              <w:right w:val="single" w:color="auto" w:sz="4" w:space="0"/>
            </w:tcBorders>
            <w:vAlign w:val="center"/>
          </w:tcPr>
          <w:p w14:paraId="11A16F30">
            <w:pPr>
              <w:widowControl/>
              <w:jc w:val="left"/>
              <w:rPr>
                <w:rFonts w:hint="eastAsia" w:ascii="宋体" w:hAnsi="宋体" w:cs="宋体"/>
                <w:color w:val="auto"/>
                <w:kern w:val="0"/>
                <w:szCs w:val="21"/>
              </w:rPr>
            </w:pPr>
          </w:p>
        </w:tc>
        <w:tc>
          <w:tcPr>
            <w:tcW w:w="578" w:type="dxa"/>
            <w:tcBorders>
              <w:top w:val="nil"/>
              <w:left w:val="nil"/>
              <w:bottom w:val="nil"/>
              <w:right w:val="single" w:color="auto" w:sz="4" w:space="0"/>
            </w:tcBorders>
            <w:vAlign w:val="center"/>
          </w:tcPr>
          <w:p w14:paraId="0C910A2E">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1D5D8E79">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78B10502">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03299CA8">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3AC8854F">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057B548C">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36308C8A">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1693DBAB">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11DDF1EF">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6566AA4E">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578" w:type="dxa"/>
            <w:tcBorders>
              <w:top w:val="nil"/>
              <w:left w:val="nil"/>
              <w:bottom w:val="nil"/>
              <w:right w:val="single" w:color="auto" w:sz="4" w:space="0"/>
            </w:tcBorders>
            <w:vAlign w:val="center"/>
          </w:tcPr>
          <w:p w14:paraId="771B4227">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c>
          <w:tcPr>
            <w:tcW w:w="636" w:type="dxa"/>
            <w:tcBorders>
              <w:top w:val="nil"/>
              <w:left w:val="nil"/>
              <w:bottom w:val="nil"/>
              <w:right w:val="single" w:color="auto" w:sz="4" w:space="0"/>
            </w:tcBorders>
            <w:vAlign w:val="center"/>
          </w:tcPr>
          <w:p w14:paraId="687D9E52">
            <w:pPr>
              <w:widowControl/>
              <w:jc w:val="center"/>
              <w:rPr>
                <w:rFonts w:hint="eastAsia" w:ascii="宋体" w:hAnsi="宋体" w:cs="宋体"/>
                <w:color w:val="auto"/>
                <w:kern w:val="0"/>
                <w:szCs w:val="21"/>
              </w:rPr>
            </w:pPr>
            <w:r>
              <w:rPr>
                <w:rFonts w:hint="eastAsia" w:ascii="宋体" w:hAnsi="宋体" w:cs="宋体"/>
                <w:color w:val="auto"/>
                <w:kern w:val="0"/>
                <w:szCs w:val="21"/>
              </w:rPr>
              <w:t>个</w:t>
            </w:r>
          </w:p>
        </w:tc>
      </w:tr>
      <w:tr w14:paraId="426C9D01">
        <w:tblPrEx>
          <w:tblCellMar>
            <w:top w:w="0" w:type="dxa"/>
            <w:left w:w="108" w:type="dxa"/>
            <w:bottom w:w="0" w:type="dxa"/>
            <w:right w:w="108" w:type="dxa"/>
          </w:tblCellMar>
        </w:tblPrEx>
        <w:trPr>
          <w:trHeight w:val="255" w:hRule="atLeast"/>
          <w:jc w:val="center"/>
        </w:trPr>
        <w:tc>
          <w:tcPr>
            <w:tcW w:w="1226" w:type="dxa"/>
            <w:vMerge w:val="continue"/>
            <w:tcBorders>
              <w:top w:val="single" w:color="auto" w:sz="4" w:space="0"/>
              <w:left w:val="single" w:color="auto" w:sz="4" w:space="0"/>
              <w:bottom w:val="single" w:color="000000" w:sz="4" w:space="0"/>
              <w:right w:val="single" w:color="auto" w:sz="4" w:space="0"/>
            </w:tcBorders>
            <w:vAlign w:val="center"/>
          </w:tcPr>
          <w:p w14:paraId="6A1FD2B4">
            <w:pPr>
              <w:widowControl/>
              <w:jc w:val="left"/>
              <w:rPr>
                <w:rFonts w:hint="eastAsia" w:ascii="宋体" w:hAnsi="宋体" w:cs="宋体"/>
                <w:color w:val="auto"/>
                <w:kern w:val="0"/>
                <w:szCs w:val="21"/>
              </w:rPr>
            </w:pPr>
          </w:p>
        </w:tc>
        <w:tc>
          <w:tcPr>
            <w:tcW w:w="578" w:type="dxa"/>
            <w:tcBorders>
              <w:top w:val="nil"/>
              <w:left w:val="nil"/>
              <w:bottom w:val="single" w:color="auto" w:sz="4" w:space="0"/>
              <w:right w:val="single" w:color="auto" w:sz="4" w:space="0"/>
            </w:tcBorders>
            <w:vAlign w:val="center"/>
          </w:tcPr>
          <w:p w14:paraId="13772121">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2CD3E709">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51944386">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50824052">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1C6DE8C3">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7FE8B92C">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27CB6E11">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0CC0E2A6">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0601A8CD">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5C9DE48A">
            <w:pPr>
              <w:widowControl/>
              <w:jc w:val="center"/>
              <w:rPr>
                <w:rFonts w:hint="eastAsia" w:ascii="宋体" w:hAnsi="宋体" w:cs="宋体"/>
                <w:color w:val="auto"/>
                <w:kern w:val="0"/>
                <w:szCs w:val="21"/>
              </w:rPr>
            </w:pPr>
            <w:r>
              <w:rPr>
                <w:rFonts w:hint="eastAsia" w:ascii="宋体" w:hAnsi="宋体" w:cs="宋体"/>
                <w:color w:val="auto"/>
                <w:kern w:val="0"/>
                <w:szCs w:val="21"/>
              </w:rPr>
              <w:t>　</w:t>
            </w:r>
          </w:p>
        </w:tc>
        <w:tc>
          <w:tcPr>
            <w:tcW w:w="578" w:type="dxa"/>
            <w:tcBorders>
              <w:top w:val="nil"/>
              <w:left w:val="nil"/>
              <w:bottom w:val="single" w:color="auto" w:sz="4" w:space="0"/>
              <w:right w:val="single" w:color="auto" w:sz="4" w:space="0"/>
            </w:tcBorders>
            <w:vAlign w:val="center"/>
          </w:tcPr>
          <w:p w14:paraId="02F781B5">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c>
          <w:tcPr>
            <w:tcW w:w="636" w:type="dxa"/>
            <w:tcBorders>
              <w:top w:val="nil"/>
              <w:left w:val="nil"/>
              <w:bottom w:val="single" w:color="auto" w:sz="4" w:space="0"/>
              <w:right w:val="single" w:color="auto" w:sz="4" w:space="0"/>
            </w:tcBorders>
            <w:vAlign w:val="center"/>
          </w:tcPr>
          <w:p w14:paraId="4BEE942E">
            <w:pPr>
              <w:widowControl/>
              <w:jc w:val="center"/>
              <w:rPr>
                <w:rFonts w:hint="eastAsia" w:ascii="宋体" w:hAnsi="宋体" w:cs="宋体"/>
                <w:color w:val="auto"/>
                <w:kern w:val="0"/>
                <w:szCs w:val="21"/>
              </w:rPr>
            </w:pPr>
            <w:r>
              <w:rPr>
                <w:rFonts w:hint="eastAsia" w:ascii="宋体" w:hAnsi="宋体" w:cs="宋体"/>
                <w:color w:val="auto"/>
                <w:kern w:val="0"/>
                <w:szCs w:val="21"/>
              </w:rPr>
              <w:t>月</w:t>
            </w:r>
          </w:p>
        </w:tc>
      </w:tr>
      <w:tr w14:paraId="5C93A7EA">
        <w:tblPrEx>
          <w:tblCellMar>
            <w:top w:w="0" w:type="dxa"/>
            <w:left w:w="108" w:type="dxa"/>
            <w:bottom w:w="0" w:type="dxa"/>
            <w:right w:w="108" w:type="dxa"/>
          </w:tblCellMar>
        </w:tblPrEx>
        <w:trPr>
          <w:trHeight w:val="510" w:hRule="atLeast"/>
          <w:jc w:val="center"/>
        </w:trPr>
        <w:tc>
          <w:tcPr>
            <w:tcW w:w="1226" w:type="dxa"/>
            <w:tcBorders>
              <w:top w:val="nil"/>
              <w:left w:val="single" w:color="auto" w:sz="4" w:space="0"/>
              <w:bottom w:val="single" w:color="auto" w:sz="4" w:space="0"/>
              <w:right w:val="single" w:color="auto" w:sz="4" w:space="0"/>
            </w:tcBorders>
            <w:vAlign w:val="center"/>
          </w:tcPr>
          <w:p w14:paraId="6BDB87BB">
            <w:pPr>
              <w:widowControl/>
              <w:jc w:val="center"/>
              <w:rPr>
                <w:rFonts w:hint="eastAsia" w:ascii="宋体" w:hAnsi="宋体" w:cs="宋体"/>
                <w:color w:val="auto"/>
                <w:kern w:val="0"/>
                <w:szCs w:val="21"/>
              </w:rPr>
            </w:pPr>
            <w:r>
              <w:rPr>
                <w:rFonts w:hint="eastAsia" w:ascii="宋体" w:hAnsi="宋体" w:cs="宋体"/>
                <w:color w:val="auto"/>
                <w:kern w:val="0"/>
                <w:szCs w:val="21"/>
              </w:rPr>
              <w:t>年保险费的百分比</w:t>
            </w:r>
          </w:p>
        </w:tc>
        <w:tc>
          <w:tcPr>
            <w:tcW w:w="578" w:type="dxa"/>
            <w:tcBorders>
              <w:top w:val="nil"/>
              <w:left w:val="nil"/>
              <w:bottom w:val="single" w:color="auto" w:sz="4" w:space="0"/>
              <w:right w:val="single" w:color="auto" w:sz="4" w:space="0"/>
            </w:tcBorders>
            <w:vAlign w:val="center"/>
          </w:tcPr>
          <w:p w14:paraId="5AF5283F">
            <w:pPr>
              <w:widowControl/>
              <w:jc w:val="center"/>
              <w:rPr>
                <w:rFonts w:hint="eastAsia" w:ascii="宋体" w:hAnsi="宋体" w:cs="宋体"/>
                <w:color w:val="auto"/>
                <w:kern w:val="0"/>
                <w:szCs w:val="21"/>
              </w:rPr>
            </w:pPr>
            <w:r>
              <w:rPr>
                <w:rFonts w:hint="eastAsia" w:ascii="宋体" w:hAnsi="宋体" w:cs="宋体"/>
                <w:color w:val="auto"/>
                <w:kern w:val="0"/>
                <w:szCs w:val="21"/>
              </w:rPr>
              <w:t>10%</w:t>
            </w:r>
          </w:p>
        </w:tc>
        <w:tc>
          <w:tcPr>
            <w:tcW w:w="578" w:type="dxa"/>
            <w:tcBorders>
              <w:top w:val="nil"/>
              <w:left w:val="nil"/>
              <w:bottom w:val="single" w:color="auto" w:sz="4" w:space="0"/>
              <w:right w:val="single" w:color="auto" w:sz="4" w:space="0"/>
            </w:tcBorders>
            <w:vAlign w:val="center"/>
          </w:tcPr>
          <w:p w14:paraId="197213D3">
            <w:pPr>
              <w:widowControl/>
              <w:jc w:val="center"/>
              <w:rPr>
                <w:rFonts w:hint="eastAsia" w:ascii="宋体" w:hAnsi="宋体" w:cs="宋体"/>
                <w:color w:val="auto"/>
                <w:kern w:val="0"/>
                <w:szCs w:val="21"/>
              </w:rPr>
            </w:pPr>
            <w:r>
              <w:rPr>
                <w:rFonts w:hint="eastAsia" w:ascii="宋体" w:hAnsi="宋体" w:cs="宋体"/>
                <w:color w:val="auto"/>
                <w:kern w:val="0"/>
                <w:szCs w:val="21"/>
              </w:rPr>
              <w:t>20%</w:t>
            </w:r>
          </w:p>
        </w:tc>
        <w:tc>
          <w:tcPr>
            <w:tcW w:w="578" w:type="dxa"/>
            <w:tcBorders>
              <w:top w:val="nil"/>
              <w:left w:val="nil"/>
              <w:bottom w:val="single" w:color="auto" w:sz="4" w:space="0"/>
              <w:right w:val="single" w:color="auto" w:sz="4" w:space="0"/>
            </w:tcBorders>
            <w:vAlign w:val="center"/>
          </w:tcPr>
          <w:p w14:paraId="02106C51">
            <w:pPr>
              <w:widowControl/>
              <w:jc w:val="center"/>
              <w:rPr>
                <w:rFonts w:hint="eastAsia" w:ascii="宋体" w:hAnsi="宋体" w:cs="宋体"/>
                <w:color w:val="auto"/>
                <w:kern w:val="0"/>
                <w:szCs w:val="21"/>
              </w:rPr>
            </w:pPr>
            <w:r>
              <w:rPr>
                <w:rFonts w:hint="eastAsia" w:ascii="宋体" w:hAnsi="宋体" w:cs="宋体"/>
                <w:color w:val="auto"/>
                <w:kern w:val="0"/>
                <w:szCs w:val="21"/>
              </w:rPr>
              <w:t>30%</w:t>
            </w:r>
          </w:p>
        </w:tc>
        <w:tc>
          <w:tcPr>
            <w:tcW w:w="578" w:type="dxa"/>
            <w:tcBorders>
              <w:top w:val="nil"/>
              <w:left w:val="nil"/>
              <w:bottom w:val="single" w:color="auto" w:sz="4" w:space="0"/>
              <w:right w:val="single" w:color="auto" w:sz="4" w:space="0"/>
            </w:tcBorders>
            <w:vAlign w:val="center"/>
          </w:tcPr>
          <w:p w14:paraId="69FF3FAA">
            <w:pPr>
              <w:widowControl/>
              <w:jc w:val="center"/>
              <w:rPr>
                <w:rFonts w:hint="eastAsia" w:ascii="宋体" w:hAnsi="宋体" w:cs="宋体"/>
                <w:color w:val="auto"/>
                <w:kern w:val="0"/>
                <w:szCs w:val="21"/>
              </w:rPr>
            </w:pPr>
            <w:r>
              <w:rPr>
                <w:rFonts w:hint="eastAsia" w:ascii="宋体" w:hAnsi="宋体" w:cs="宋体"/>
                <w:color w:val="auto"/>
                <w:kern w:val="0"/>
                <w:szCs w:val="21"/>
              </w:rPr>
              <w:t>40%</w:t>
            </w:r>
          </w:p>
        </w:tc>
        <w:tc>
          <w:tcPr>
            <w:tcW w:w="578" w:type="dxa"/>
            <w:tcBorders>
              <w:top w:val="nil"/>
              <w:left w:val="nil"/>
              <w:bottom w:val="single" w:color="auto" w:sz="4" w:space="0"/>
              <w:right w:val="single" w:color="auto" w:sz="4" w:space="0"/>
            </w:tcBorders>
            <w:vAlign w:val="center"/>
          </w:tcPr>
          <w:p w14:paraId="5CCA619C">
            <w:pPr>
              <w:widowControl/>
              <w:jc w:val="center"/>
              <w:rPr>
                <w:rFonts w:hint="eastAsia" w:ascii="宋体" w:hAnsi="宋体" w:cs="宋体"/>
                <w:color w:val="auto"/>
                <w:kern w:val="0"/>
                <w:szCs w:val="21"/>
              </w:rPr>
            </w:pPr>
            <w:r>
              <w:rPr>
                <w:rFonts w:hint="eastAsia" w:ascii="宋体" w:hAnsi="宋体" w:cs="宋体"/>
                <w:color w:val="auto"/>
                <w:kern w:val="0"/>
                <w:szCs w:val="21"/>
              </w:rPr>
              <w:t>50%</w:t>
            </w:r>
          </w:p>
        </w:tc>
        <w:tc>
          <w:tcPr>
            <w:tcW w:w="578" w:type="dxa"/>
            <w:tcBorders>
              <w:top w:val="nil"/>
              <w:left w:val="nil"/>
              <w:bottom w:val="single" w:color="auto" w:sz="4" w:space="0"/>
              <w:right w:val="single" w:color="auto" w:sz="4" w:space="0"/>
            </w:tcBorders>
            <w:vAlign w:val="center"/>
          </w:tcPr>
          <w:p w14:paraId="23B0890C">
            <w:pPr>
              <w:widowControl/>
              <w:jc w:val="center"/>
              <w:rPr>
                <w:rFonts w:hint="eastAsia" w:ascii="宋体" w:hAnsi="宋体" w:cs="宋体"/>
                <w:color w:val="auto"/>
                <w:kern w:val="0"/>
                <w:szCs w:val="21"/>
              </w:rPr>
            </w:pPr>
            <w:r>
              <w:rPr>
                <w:rFonts w:hint="eastAsia" w:ascii="宋体" w:hAnsi="宋体" w:cs="宋体"/>
                <w:color w:val="auto"/>
                <w:kern w:val="0"/>
                <w:szCs w:val="21"/>
              </w:rPr>
              <w:t>60%</w:t>
            </w:r>
          </w:p>
        </w:tc>
        <w:tc>
          <w:tcPr>
            <w:tcW w:w="578" w:type="dxa"/>
            <w:tcBorders>
              <w:top w:val="nil"/>
              <w:left w:val="nil"/>
              <w:bottom w:val="single" w:color="auto" w:sz="4" w:space="0"/>
              <w:right w:val="single" w:color="auto" w:sz="4" w:space="0"/>
            </w:tcBorders>
            <w:vAlign w:val="center"/>
          </w:tcPr>
          <w:p w14:paraId="618DE41D">
            <w:pPr>
              <w:widowControl/>
              <w:jc w:val="center"/>
              <w:rPr>
                <w:rFonts w:hint="eastAsia" w:ascii="宋体" w:hAnsi="宋体" w:cs="宋体"/>
                <w:color w:val="auto"/>
                <w:kern w:val="0"/>
                <w:szCs w:val="21"/>
              </w:rPr>
            </w:pPr>
            <w:r>
              <w:rPr>
                <w:rFonts w:hint="eastAsia" w:ascii="宋体" w:hAnsi="宋体" w:cs="宋体"/>
                <w:color w:val="auto"/>
                <w:kern w:val="0"/>
                <w:szCs w:val="21"/>
              </w:rPr>
              <w:t>70%</w:t>
            </w:r>
          </w:p>
        </w:tc>
        <w:tc>
          <w:tcPr>
            <w:tcW w:w="578" w:type="dxa"/>
            <w:tcBorders>
              <w:top w:val="nil"/>
              <w:left w:val="nil"/>
              <w:bottom w:val="single" w:color="auto" w:sz="4" w:space="0"/>
              <w:right w:val="single" w:color="auto" w:sz="4" w:space="0"/>
            </w:tcBorders>
            <w:vAlign w:val="center"/>
          </w:tcPr>
          <w:p w14:paraId="337E72C7">
            <w:pPr>
              <w:widowControl/>
              <w:jc w:val="center"/>
              <w:rPr>
                <w:rFonts w:hint="eastAsia" w:ascii="宋体" w:hAnsi="宋体" w:cs="宋体"/>
                <w:color w:val="auto"/>
                <w:kern w:val="0"/>
                <w:szCs w:val="21"/>
              </w:rPr>
            </w:pPr>
            <w:r>
              <w:rPr>
                <w:rFonts w:hint="eastAsia" w:ascii="宋体" w:hAnsi="宋体" w:cs="宋体"/>
                <w:color w:val="auto"/>
                <w:kern w:val="0"/>
                <w:szCs w:val="21"/>
              </w:rPr>
              <w:t>80%</w:t>
            </w:r>
          </w:p>
        </w:tc>
        <w:tc>
          <w:tcPr>
            <w:tcW w:w="578" w:type="dxa"/>
            <w:tcBorders>
              <w:top w:val="nil"/>
              <w:left w:val="nil"/>
              <w:bottom w:val="single" w:color="auto" w:sz="4" w:space="0"/>
              <w:right w:val="single" w:color="auto" w:sz="4" w:space="0"/>
            </w:tcBorders>
            <w:vAlign w:val="center"/>
          </w:tcPr>
          <w:p w14:paraId="40AFB48A">
            <w:pPr>
              <w:widowControl/>
              <w:jc w:val="center"/>
              <w:rPr>
                <w:rFonts w:hint="eastAsia" w:ascii="宋体" w:hAnsi="宋体" w:cs="宋体"/>
                <w:color w:val="auto"/>
                <w:kern w:val="0"/>
                <w:szCs w:val="21"/>
              </w:rPr>
            </w:pPr>
            <w:r>
              <w:rPr>
                <w:rFonts w:hint="eastAsia" w:ascii="宋体" w:hAnsi="宋体" w:cs="宋体"/>
                <w:color w:val="auto"/>
                <w:kern w:val="0"/>
                <w:szCs w:val="21"/>
              </w:rPr>
              <w:t>85%</w:t>
            </w:r>
          </w:p>
        </w:tc>
        <w:tc>
          <w:tcPr>
            <w:tcW w:w="578" w:type="dxa"/>
            <w:tcBorders>
              <w:top w:val="nil"/>
              <w:left w:val="nil"/>
              <w:bottom w:val="single" w:color="auto" w:sz="4" w:space="0"/>
              <w:right w:val="single" w:color="auto" w:sz="4" w:space="0"/>
            </w:tcBorders>
            <w:vAlign w:val="center"/>
          </w:tcPr>
          <w:p w14:paraId="6E84C024">
            <w:pPr>
              <w:widowControl/>
              <w:jc w:val="center"/>
              <w:rPr>
                <w:rFonts w:hint="eastAsia" w:ascii="宋体" w:hAnsi="宋体" w:cs="宋体"/>
                <w:color w:val="auto"/>
                <w:kern w:val="0"/>
                <w:szCs w:val="21"/>
              </w:rPr>
            </w:pPr>
            <w:r>
              <w:rPr>
                <w:rFonts w:hint="eastAsia" w:ascii="宋体" w:hAnsi="宋体" w:cs="宋体"/>
                <w:color w:val="auto"/>
                <w:kern w:val="0"/>
                <w:szCs w:val="21"/>
              </w:rPr>
              <w:t>90%</w:t>
            </w:r>
          </w:p>
        </w:tc>
        <w:tc>
          <w:tcPr>
            <w:tcW w:w="578" w:type="dxa"/>
            <w:tcBorders>
              <w:top w:val="nil"/>
              <w:left w:val="nil"/>
              <w:bottom w:val="single" w:color="auto" w:sz="4" w:space="0"/>
              <w:right w:val="single" w:color="auto" w:sz="4" w:space="0"/>
            </w:tcBorders>
            <w:vAlign w:val="center"/>
          </w:tcPr>
          <w:p w14:paraId="246CCB68">
            <w:pPr>
              <w:widowControl/>
              <w:jc w:val="center"/>
              <w:rPr>
                <w:rFonts w:hint="eastAsia" w:ascii="宋体" w:hAnsi="宋体" w:cs="宋体"/>
                <w:color w:val="auto"/>
                <w:kern w:val="0"/>
                <w:szCs w:val="21"/>
              </w:rPr>
            </w:pPr>
            <w:r>
              <w:rPr>
                <w:rFonts w:hint="eastAsia" w:ascii="宋体" w:hAnsi="宋体" w:cs="宋体"/>
                <w:color w:val="auto"/>
                <w:kern w:val="0"/>
                <w:szCs w:val="21"/>
              </w:rPr>
              <w:t>95%</w:t>
            </w:r>
          </w:p>
        </w:tc>
        <w:tc>
          <w:tcPr>
            <w:tcW w:w="636" w:type="dxa"/>
            <w:tcBorders>
              <w:top w:val="nil"/>
              <w:left w:val="nil"/>
              <w:bottom w:val="single" w:color="auto" w:sz="4" w:space="0"/>
              <w:right w:val="single" w:color="auto" w:sz="4" w:space="0"/>
            </w:tcBorders>
            <w:vAlign w:val="center"/>
          </w:tcPr>
          <w:p w14:paraId="20D4FFD6">
            <w:pPr>
              <w:widowControl/>
              <w:jc w:val="center"/>
              <w:rPr>
                <w:rFonts w:hint="eastAsia" w:ascii="宋体" w:hAnsi="宋体" w:cs="宋体"/>
                <w:color w:val="auto"/>
                <w:kern w:val="0"/>
                <w:szCs w:val="21"/>
              </w:rPr>
            </w:pPr>
            <w:r>
              <w:rPr>
                <w:rFonts w:hint="eastAsia" w:ascii="宋体" w:hAnsi="宋体" w:cs="宋体"/>
                <w:color w:val="auto"/>
                <w:kern w:val="0"/>
                <w:szCs w:val="21"/>
              </w:rPr>
              <w:t>100%</w:t>
            </w:r>
          </w:p>
        </w:tc>
      </w:tr>
    </w:tbl>
    <w:p w14:paraId="7C2CBB4A">
      <w:pPr>
        <w:rPr>
          <w:rFonts w:hint="eastAsia" w:ascii="宋体" w:hAnsi="宋体" w:eastAsia="宋体" w:cs="宋体"/>
          <w:b w:val="0"/>
          <w:bCs w:val="0"/>
          <w:sz w:val="24"/>
          <w:szCs w:val="24"/>
          <w:lang w:val="en-US" w:eastAsia="zh-CN"/>
        </w:rPr>
      </w:pPr>
    </w:p>
    <w:p w14:paraId="1FF026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83FB0"/>
    <w:rsid w:val="03720CB3"/>
    <w:rsid w:val="04FD1ABF"/>
    <w:rsid w:val="08C14368"/>
    <w:rsid w:val="0F2A49EE"/>
    <w:rsid w:val="19C94530"/>
    <w:rsid w:val="21D9341D"/>
    <w:rsid w:val="235B3DC6"/>
    <w:rsid w:val="25DA43F3"/>
    <w:rsid w:val="2651082C"/>
    <w:rsid w:val="26DD354F"/>
    <w:rsid w:val="27D9607F"/>
    <w:rsid w:val="28DA5593"/>
    <w:rsid w:val="2A651DF0"/>
    <w:rsid w:val="2AB77B3A"/>
    <w:rsid w:val="2ACC15C7"/>
    <w:rsid w:val="305E6556"/>
    <w:rsid w:val="3ED023A1"/>
    <w:rsid w:val="40D83FB0"/>
    <w:rsid w:val="45253568"/>
    <w:rsid w:val="465362CF"/>
    <w:rsid w:val="468F02AB"/>
    <w:rsid w:val="4A680845"/>
    <w:rsid w:val="4A9A2372"/>
    <w:rsid w:val="4AB10DA0"/>
    <w:rsid w:val="4E3338D6"/>
    <w:rsid w:val="4F6B310B"/>
    <w:rsid w:val="4F6B59C1"/>
    <w:rsid w:val="4FBD70C5"/>
    <w:rsid w:val="59F22223"/>
    <w:rsid w:val="5D0C57B5"/>
    <w:rsid w:val="67625653"/>
    <w:rsid w:val="6E62148E"/>
    <w:rsid w:val="6ED31C56"/>
    <w:rsid w:val="715970D5"/>
    <w:rsid w:val="7E2A4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0"/>
    <w:pPr>
      <w:keepNext/>
      <w:keepLines/>
      <w:spacing w:before="100" w:beforeLines="100" w:after="100" w:afterLines="100" w:line="460" w:lineRule="exact"/>
      <w:jc w:val="center"/>
      <w:outlineLvl w:val="0"/>
    </w:pPr>
    <w:rPr>
      <w:rFonts w:eastAsia="黑体" w:asciiTheme="minorAscii" w:hAnsiTheme="minorAscii"/>
      <w:b/>
      <w:bCs/>
      <w:kern w:val="44"/>
      <w:sz w:val="32"/>
      <w:szCs w:val="44"/>
    </w:rPr>
  </w:style>
  <w:style w:type="paragraph" w:styleId="3">
    <w:name w:val="heading 2"/>
    <w:basedOn w:val="1"/>
    <w:next w:val="1"/>
    <w:link w:val="11"/>
    <w:semiHidden/>
    <w:unhideWhenUsed/>
    <w:qFormat/>
    <w:uiPriority w:val="0"/>
    <w:pPr>
      <w:keepNext/>
      <w:keepLines/>
      <w:snapToGrid w:val="0"/>
      <w:spacing w:before="50" w:beforeLines="50" w:after="50" w:afterLines="50" w:line="460" w:lineRule="exact"/>
      <w:jc w:val="left"/>
      <w:outlineLvl w:val="1"/>
    </w:pPr>
    <w:rPr>
      <w:rFonts w:eastAsia="黑体" w:asciiTheme="majorAscii" w:hAnsiTheme="majorAscii" w:cstheme="majorBidi"/>
      <w:bCs/>
      <w:sz w:val="28"/>
      <w:szCs w:val="32"/>
    </w:rPr>
  </w:style>
  <w:style w:type="paragraph" w:styleId="4">
    <w:name w:val="heading 3"/>
    <w:basedOn w:val="1"/>
    <w:next w:val="1"/>
    <w:link w:val="12"/>
    <w:semiHidden/>
    <w:unhideWhenUsed/>
    <w:qFormat/>
    <w:uiPriority w:val="0"/>
    <w:pPr>
      <w:keepNext/>
      <w:keepLines/>
      <w:spacing w:before="50" w:beforeLines="50" w:after="50" w:afterLines="50" w:line="460" w:lineRule="exact"/>
      <w:jc w:val="left"/>
      <w:outlineLvl w:val="2"/>
    </w:pPr>
    <w:rPr>
      <w:rFonts w:eastAsia="黑体" w:asciiTheme="minorAscii" w:hAnsiTheme="minorAscii"/>
      <w:bCs/>
      <w:sz w:val="24"/>
      <w:szCs w:val="32"/>
    </w:rPr>
  </w:style>
  <w:style w:type="character" w:default="1" w:styleId="8">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5">
    <w:name w:val="Message Header"/>
    <w:basedOn w:val="1"/>
    <w:next w:val="1"/>
    <w:qFormat/>
    <w:uiPriority w:val="0"/>
    <w:pPr>
      <w:pBdr>
        <w:top w:val="none" w:color="auto" w:sz="0" w:space="1"/>
        <w:left w:val="none" w:color="auto" w:sz="0" w:space="1"/>
        <w:bottom w:val="none" w:color="auto" w:sz="0" w:space="1"/>
        <w:right w:val="none" w:color="auto" w:sz="0" w:space="1"/>
      </w:pBdr>
      <w:spacing w:after="50" w:afterLines="50"/>
      <w:ind w:firstLine="420" w:firstLineChars="200"/>
    </w:pPr>
    <w:rPr>
      <w:rFonts w:ascii="Cambria" w:hAnsi="Cambria" w:eastAsia="宋体"/>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unhideWhenUsed/>
    <w:qFormat/>
    <w:uiPriority w:val="99"/>
    <w:rPr>
      <w:sz w:val="21"/>
      <w:szCs w:val="21"/>
    </w:rPr>
  </w:style>
  <w:style w:type="character" w:customStyle="1" w:styleId="10">
    <w:name w:val="标题 1 字符"/>
    <w:basedOn w:val="8"/>
    <w:link w:val="2"/>
    <w:qFormat/>
    <w:uiPriority w:val="9"/>
    <w:rPr>
      <w:rFonts w:eastAsia="黑体" w:asciiTheme="minorAscii" w:hAnsiTheme="minorAscii"/>
      <w:b/>
      <w:bCs/>
      <w:kern w:val="44"/>
      <w:sz w:val="32"/>
      <w:szCs w:val="44"/>
    </w:rPr>
  </w:style>
  <w:style w:type="character" w:customStyle="1" w:styleId="11">
    <w:name w:val="标题 2 字符"/>
    <w:basedOn w:val="8"/>
    <w:link w:val="3"/>
    <w:qFormat/>
    <w:uiPriority w:val="9"/>
    <w:rPr>
      <w:rFonts w:eastAsia="黑体" w:asciiTheme="majorAscii" w:hAnsiTheme="majorAscii" w:cstheme="majorBidi"/>
      <w:bCs/>
      <w:sz w:val="28"/>
      <w:szCs w:val="32"/>
    </w:rPr>
  </w:style>
  <w:style w:type="character" w:customStyle="1" w:styleId="12">
    <w:name w:val="标题 3 字符"/>
    <w:basedOn w:val="8"/>
    <w:link w:val="4"/>
    <w:qFormat/>
    <w:uiPriority w:val="9"/>
    <w:rPr>
      <w:rFonts w:eastAsia="黑体" w:asciiTheme="minorAscii" w:hAnsiTheme="minorAscii"/>
      <w:bCs/>
      <w:sz w:val="24"/>
      <w:szCs w:val="32"/>
    </w:rPr>
  </w:style>
  <w:style w:type="character" w:customStyle="1" w:styleId="13">
    <w:name w:val="font11"/>
    <w:basedOn w:val="8"/>
    <w:qFormat/>
    <w:uiPriority w:val="0"/>
    <w:rPr>
      <w:rFonts w:hint="eastAsia" w:ascii="宋体" w:hAnsi="宋体" w:eastAsia="宋体" w:cs="宋体"/>
      <w:color w:val="000000"/>
      <w:sz w:val="21"/>
      <w:szCs w:val="21"/>
      <w:u w:val="none"/>
    </w:rPr>
  </w:style>
  <w:style w:type="paragraph" w:customStyle="1" w:styleId="14">
    <w:name w:val="无间隔1"/>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1407</Words>
  <Characters>1842</Characters>
  <Lines>0</Lines>
  <Paragraphs>0</Paragraphs>
  <TotalTime>7</TotalTime>
  <ScaleCrop>false</ScaleCrop>
  <LinksUpToDate>false</LinksUpToDate>
  <CharactersWithSpaces>1863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2026-02-06T03:32:00Z</dcterms:created>
  <dc:creator>张依</dc:creator>
  <cp:lastModifiedBy>孙晓琪</cp:lastModifiedBy>
  <dcterms:modified xsi:type="dcterms:W3CDTF">2026-04-10T03:27:04Z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6E8BD13DBB5649BCBD35E760BB28BF5D_13</vt:lpwstr>
  </property>
  <property fmtid="{D5CDD505-2E9C-101B-9397-08002B2CF9AE}" pid="4" name="KSOTemplateDocerSaveRecord">
    <vt:lpwstr>eyJoZGlkIjoiYmY5NWE4NWE0OTFhOTViMDYwYmFjMTE2NmM1Njg1NzIiLCJ1c2VySWQiOiIzNjQ3NzU2MDkifQ==</vt:lpwstr>
  </property>
</Properties>
</file>