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190A2">
      <w:pPr>
        <w:adjustRightInd w:val="0"/>
        <w:spacing w:afterLines="0"/>
        <w:jc w:val="center"/>
        <w:textAlignment w:val="baseline"/>
        <w:rPr>
          <w:rFonts w:hint="eastAsia" w:asciiTheme="majorEastAsia" w:hAnsiTheme="majorEastAsia" w:eastAsiaTheme="majorEastAsia" w:cstheme="minorBidi"/>
          <w:b/>
          <w:sz w:val="28"/>
          <w:szCs w:val="28"/>
        </w:rPr>
      </w:pPr>
      <w:bookmarkStart w:id="0" w:name="OLE_LINK1"/>
      <w:r>
        <w:rPr>
          <w:rFonts w:hint="eastAsia" w:asciiTheme="majorEastAsia" w:hAnsiTheme="majorEastAsia" w:eastAsiaTheme="majorEastAsia" w:cstheme="minorBidi"/>
          <w:b/>
          <w:sz w:val="28"/>
          <w:szCs w:val="28"/>
        </w:rPr>
        <w:t>华农财产保险股份有限公司</w:t>
      </w:r>
      <w:bookmarkEnd w:id="0"/>
      <w:r>
        <w:rPr>
          <w:rFonts w:hint="eastAsia" w:asciiTheme="majorEastAsia" w:hAnsiTheme="majorEastAsia" w:eastAsiaTheme="majorEastAsia" w:cstheme="minorBidi"/>
          <w:b/>
          <w:sz w:val="28"/>
          <w:szCs w:val="28"/>
        </w:rPr>
        <w:t>广西地区学生意外伤害保险</w:t>
      </w:r>
    </w:p>
    <w:p w14:paraId="7C2230FE">
      <w:pPr>
        <w:adjustRightInd w:val="0"/>
        <w:spacing w:afterLines="0"/>
        <w:jc w:val="center"/>
        <w:textAlignment w:val="baseline"/>
        <w:rPr>
          <w:rFonts w:hint="eastAsia" w:asciiTheme="majorEastAsia" w:hAnsiTheme="majorEastAsia" w:eastAsiaTheme="majorEastAsia" w:cstheme="minorBidi"/>
          <w:b/>
          <w:sz w:val="28"/>
          <w:szCs w:val="28"/>
          <w:lang w:val="en-US" w:eastAsia="zh-CN"/>
        </w:rPr>
      </w:pPr>
      <w:r>
        <w:rPr>
          <w:rFonts w:hint="eastAsia" w:asciiTheme="majorEastAsia" w:hAnsiTheme="majorEastAsia" w:eastAsiaTheme="majorEastAsia" w:cstheme="minorBidi"/>
          <w:b/>
          <w:sz w:val="28"/>
          <w:szCs w:val="28"/>
        </w:rPr>
        <w:t xml:space="preserve">附加学生重大疾病保险（2026版） </w:t>
      </w:r>
      <w:r>
        <w:rPr>
          <w:rFonts w:hint="eastAsia" w:asciiTheme="majorEastAsia" w:hAnsiTheme="majorEastAsia" w:eastAsiaTheme="majorEastAsia" w:cstheme="minorBidi"/>
          <w:b/>
          <w:sz w:val="28"/>
          <w:szCs w:val="28"/>
          <w:lang w:val="en-US" w:eastAsia="zh-CN"/>
        </w:rPr>
        <w:t>条款</w:t>
      </w:r>
    </w:p>
    <w:p w14:paraId="5B41CEC2">
      <w:pPr>
        <w:adjustRightInd w:val="0"/>
        <w:spacing w:afterLines="0"/>
        <w:jc w:val="center"/>
        <w:textAlignment w:val="baseline"/>
        <w:rPr>
          <w:rFonts w:hint="eastAsia" w:ascii="仿宋_GB2312" w:hAnsi="仿宋_GB2312" w:cs="仿宋_GB2312" w:eastAsiaTheme="majorEastAsia"/>
          <w:b w:val="0"/>
          <w:color w:val="000000" w:themeColor="text1"/>
          <w:sz w:val="28"/>
          <w:szCs w:val="28"/>
          <w14:textFill>
            <w14:solidFill>
              <w14:schemeClr w14:val="tx1"/>
            </w14:solidFill>
          </w14:textFill>
        </w:rPr>
      </w:pPr>
      <w:r>
        <w:rPr>
          <w:rFonts w:hint="eastAsia" w:asciiTheme="majorEastAsia" w:hAnsiTheme="majorEastAsia" w:eastAsiaTheme="majorEastAsia" w:cstheme="minorBidi"/>
          <w:b/>
          <w:sz w:val="28"/>
          <w:szCs w:val="28"/>
          <w:lang w:val="en-US" w:eastAsia="zh-CN"/>
        </w:rPr>
        <w:t>注册</w:t>
      </w:r>
      <w:bookmarkStart w:id="2" w:name="_GoBack"/>
      <w:bookmarkEnd w:id="2"/>
      <w:r>
        <w:rPr>
          <w:rFonts w:hint="eastAsia" w:asciiTheme="majorEastAsia" w:hAnsiTheme="majorEastAsia" w:eastAsiaTheme="majorEastAsia" w:cstheme="minorBidi"/>
          <w:b/>
          <w:sz w:val="28"/>
          <w:szCs w:val="28"/>
          <w:lang w:val="en-US" w:eastAsia="zh-CN"/>
        </w:rPr>
        <w:t>号：C00010132622026070864233</w:t>
      </w:r>
    </w:p>
    <w:p w14:paraId="7CCF45E5">
      <w:pPr>
        <w:spacing w:after="157" w:afterLines="50" w:line="240" w:lineRule="auto"/>
        <w:jc w:val="center"/>
        <w:rPr>
          <w:rFonts w:hint="eastAsia" w:ascii="宋体" w:hAnsi="宋体" w:eastAsia="宋体" w:cs="宋体"/>
          <w:b/>
          <w:szCs w:val="21"/>
        </w:rPr>
      </w:pPr>
    </w:p>
    <w:p w14:paraId="4030D9FA">
      <w:pPr>
        <w:spacing w:after="157" w:afterLines="50" w:line="240" w:lineRule="auto"/>
        <w:jc w:val="center"/>
        <w:rPr>
          <w:rFonts w:hint="eastAsia" w:ascii="宋体" w:hAnsi="宋体" w:eastAsia="宋体" w:cs="宋体"/>
          <w:b/>
          <w:szCs w:val="21"/>
        </w:rPr>
      </w:pPr>
      <w:r>
        <w:rPr>
          <w:rFonts w:hint="eastAsia" w:ascii="宋体" w:hAnsi="宋体" w:eastAsia="宋体" w:cs="宋体"/>
          <w:b/>
          <w:szCs w:val="21"/>
        </w:rPr>
        <w:t>第一部分 总则</w:t>
      </w:r>
    </w:p>
    <w:p w14:paraId="3F628B6F">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第一条  合同构成</w:t>
      </w:r>
    </w:p>
    <w:p w14:paraId="042D9B5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本附加险合同附加于</w:t>
      </w:r>
      <w:bookmarkStart w:id="1" w:name="OLE_LINK2"/>
      <w:r>
        <w:rPr>
          <w:rFonts w:hint="eastAsia" w:ascii="宋体" w:hAnsi="宋体" w:eastAsia="宋体" w:cs="宋体"/>
          <w:szCs w:val="21"/>
        </w:rPr>
        <w:t>华农财产保险股份有限公司</w:t>
      </w:r>
      <w:bookmarkEnd w:id="1"/>
      <w:r>
        <w:rPr>
          <w:rFonts w:hint="eastAsia" w:ascii="宋体" w:hAnsi="宋体" w:eastAsia="宋体" w:cs="宋体"/>
          <w:szCs w:val="21"/>
        </w:rPr>
        <w:t>广西地区学生意外伤害保险</w:t>
      </w:r>
      <w:r>
        <w:rPr>
          <w:rFonts w:hint="eastAsia" w:ascii="宋体" w:hAnsi="宋体" w:eastAsia="宋体" w:cs="宋体"/>
          <w:szCs w:val="21"/>
          <w:lang w:val="en-US" w:eastAsia="zh-CN"/>
        </w:rPr>
        <w:t>类</w:t>
      </w:r>
      <w:r>
        <w:rPr>
          <w:rFonts w:hint="eastAsia" w:ascii="宋体" w:hAnsi="宋体" w:eastAsia="宋体" w:cs="宋体"/>
          <w:szCs w:val="21"/>
        </w:rPr>
        <w:t>合同（以下简称“主险合同”）。</w:t>
      </w:r>
      <w:r>
        <w:rPr>
          <w:rFonts w:hint="eastAsia" w:ascii="宋体" w:hAnsi="宋体" w:eastAsia="宋体" w:cs="宋体"/>
          <w:b/>
          <w:bCs/>
          <w:szCs w:val="21"/>
        </w:rPr>
        <w:t>本附加险合同与主险合同相抵触之处，以本附加险合同为准。本附加险合同未约定事项，以主险合同为准。主险合同效力终止，本附加险合同效力亦同时终止；主险合同无效，本附加险合同亦无效。</w:t>
      </w:r>
    </w:p>
    <w:p w14:paraId="0C2966F2">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 xml:space="preserve"> 本附加险合同由主险合同所附条款、本附加险合同保险单及所附条款、批注、附贴批单、投保单，以及与本附加险合同有关的投保文件、声明和其他书面协议共同构成。</w:t>
      </w:r>
    </w:p>
    <w:p w14:paraId="476A5892">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凡涉及本附加险合同的约定，均应采用书面形式。</w:t>
      </w:r>
    </w:p>
    <w:p w14:paraId="673DF4B0">
      <w:pPr>
        <w:spacing w:after="157" w:afterLines="50" w:line="240" w:lineRule="auto"/>
        <w:ind w:firstLine="422" w:firstLineChars="200"/>
        <w:jc w:val="left"/>
        <w:rPr>
          <w:rFonts w:hint="eastAsia" w:ascii="宋体" w:hAnsi="宋体" w:eastAsia="宋体" w:cs="宋体"/>
          <w:szCs w:val="21"/>
        </w:rPr>
      </w:pPr>
      <w:r>
        <w:rPr>
          <w:rFonts w:hint="eastAsia" w:ascii="宋体" w:hAnsi="宋体" w:eastAsia="宋体" w:cs="宋体"/>
          <w:b/>
          <w:szCs w:val="21"/>
        </w:rPr>
        <w:t>第二条  投保人、被保险人</w:t>
      </w:r>
    </w:p>
    <w:p w14:paraId="5E338D5B">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本附加险合同的投保人、被保险人与主险合同相同。</w:t>
      </w:r>
    </w:p>
    <w:p w14:paraId="681B0778">
      <w:pPr>
        <w:spacing w:after="157" w:afterLines="50" w:line="240" w:lineRule="auto"/>
        <w:ind w:firstLine="422" w:firstLineChars="200"/>
        <w:jc w:val="left"/>
        <w:rPr>
          <w:rFonts w:hint="eastAsia" w:ascii="宋体" w:hAnsi="宋体" w:eastAsia="宋体" w:cs="宋体"/>
          <w:szCs w:val="21"/>
        </w:rPr>
      </w:pPr>
      <w:r>
        <w:rPr>
          <w:rFonts w:hint="eastAsia" w:ascii="宋体" w:hAnsi="宋体" w:eastAsia="宋体" w:cs="宋体"/>
          <w:b/>
          <w:szCs w:val="21"/>
        </w:rPr>
        <w:t>第三条  受益人</w:t>
      </w:r>
    </w:p>
    <w:p w14:paraId="7451D28E">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除投保人或被保险人另有指定外，本附加险合同保险金受益人为被保险人本人。</w:t>
      </w:r>
    </w:p>
    <w:p w14:paraId="484AF333">
      <w:pPr>
        <w:spacing w:after="157" w:afterLines="50" w:line="240" w:lineRule="auto"/>
        <w:jc w:val="center"/>
        <w:rPr>
          <w:rFonts w:hint="eastAsia" w:ascii="宋体" w:hAnsi="宋体" w:eastAsia="宋体" w:cs="宋体"/>
          <w:b/>
          <w:szCs w:val="21"/>
        </w:rPr>
      </w:pPr>
      <w:r>
        <w:rPr>
          <w:rFonts w:hint="eastAsia" w:ascii="宋体" w:hAnsi="宋体" w:eastAsia="宋体" w:cs="宋体"/>
          <w:b/>
          <w:szCs w:val="21"/>
        </w:rPr>
        <w:t>第二部分 保险责任和责任免除</w:t>
      </w:r>
    </w:p>
    <w:p w14:paraId="5371CA62">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第四条  保险责任</w:t>
      </w:r>
    </w:p>
    <w:p w14:paraId="6515FA9A">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在本附加险合同保险期间内，保险人承担下列保险责任：</w:t>
      </w:r>
    </w:p>
    <w:p w14:paraId="0D512E73">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被保险人因遭受意外伤害或在等待期满后因疾病原因，在保险期间内初次发生本附加险条款约定的重大疾病（无论一种或者多种）并经医院专科医生确诊的，保险人按本附加险保险金额给付重大疾病保险金，本附加险的保险责任终止。</w:t>
      </w:r>
    </w:p>
    <w:p w14:paraId="6C00E512">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被保险人在等待期满前（因遭受意外伤害导致保险事故的除外）患有本附加险合同约定的重大疾病（无论一种或者多种），保险人不承担给付保险金的责任，向投保人退还本附加险合同的未满期净保费（见释义，下同），本附加险的保险责任终止。</w:t>
      </w:r>
    </w:p>
    <w:p w14:paraId="0473014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本附加险条款所称</w:t>
      </w:r>
      <w:r>
        <w:rPr>
          <w:rFonts w:hint="eastAsia" w:ascii="宋体" w:hAnsi="宋体" w:eastAsia="宋体" w:cs="宋体"/>
          <w:b/>
          <w:bCs/>
          <w:szCs w:val="21"/>
        </w:rPr>
        <w:t>意外伤害</w:t>
      </w:r>
      <w:r>
        <w:rPr>
          <w:rFonts w:hint="eastAsia" w:ascii="宋体" w:hAnsi="宋体" w:eastAsia="宋体" w:cs="宋体"/>
          <w:szCs w:val="21"/>
        </w:rPr>
        <w:t>，指以外来的、突发的、非本意的和非疾病的客观事件为直接且单独的原因致使身体受到的伤害。</w:t>
      </w:r>
    </w:p>
    <w:p w14:paraId="0C2CC4A0">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本附加险等待期自本附加险保险期间开始之日或本附加险生效之日（以较晚者为准）开始计算，期限为30日，连续投保者不适用等待期。</w:t>
      </w:r>
    </w:p>
    <w:p w14:paraId="135EDB96">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第五条  责任免除</w:t>
      </w:r>
    </w:p>
    <w:p w14:paraId="0B82FF6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因下列原因之一或下列情形之一,导致被保险人患有本附加险合同所指重大疾病，保险人不承担给付保险金的责任：</w:t>
      </w:r>
    </w:p>
    <w:p w14:paraId="16BF8771">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一、投保人对被保险人的故意杀害或故意伤害；</w:t>
      </w:r>
    </w:p>
    <w:p w14:paraId="55AB9E46">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二、被保险人故意犯罪或抗拒依法采取的刑事强制措施；</w:t>
      </w:r>
    </w:p>
    <w:p w14:paraId="54989757">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三、被保险人故意自伤、自杀，但被保险人自杀时为无民事行为能力人的除外；</w:t>
      </w:r>
    </w:p>
    <w:p w14:paraId="17739FFF">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eastAsia="zh-CN"/>
        </w:rPr>
        <w:t>四</w:t>
      </w:r>
      <w:r>
        <w:rPr>
          <w:rFonts w:hint="eastAsia" w:ascii="宋体" w:hAnsi="宋体" w:eastAsia="宋体" w:cs="宋体"/>
          <w:b/>
          <w:bCs/>
          <w:szCs w:val="21"/>
        </w:rPr>
        <w:t>、核爆炸、核辐射或核污染；</w:t>
      </w:r>
    </w:p>
    <w:p w14:paraId="6C99F263">
      <w:pPr>
        <w:adjustRightInd w:val="0"/>
        <w:snapToGrid w:val="0"/>
        <w:spacing w:after="157" w:afterLines="50" w:line="240" w:lineRule="auto"/>
        <w:ind w:firstLine="422" w:firstLineChars="200"/>
        <w:rPr>
          <w:rFonts w:hint="eastAsia" w:ascii="宋体" w:hAnsi="宋体" w:eastAsia="宋体" w:cs="宋体"/>
          <w:b/>
          <w:bCs/>
          <w:szCs w:val="21"/>
          <w:lang w:eastAsia="zh-CN"/>
        </w:rPr>
      </w:pPr>
      <w:r>
        <w:rPr>
          <w:rFonts w:hint="eastAsia" w:ascii="宋体" w:hAnsi="宋体" w:eastAsia="宋体" w:cs="宋体"/>
          <w:b/>
          <w:bCs/>
          <w:szCs w:val="21"/>
          <w:lang w:eastAsia="zh-CN"/>
        </w:rPr>
        <w:t>五</w:t>
      </w:r>
      <w:r>
        <w:rPr>
          <w:rFonts w:hint="eastAsia" w:ascii="宋体" w:hAnsi="宋体" w:eastAsia="宋体" w:cs="宋体"/>
          <w:b/>
          <w:bCs/>
          <w:szCs w:val="21"/>
        </w:rPr>
        <w:t>、被保险人患遗传性疾病（见释义），先天性畸形、变形或染色体异常（见释义）</w:t>
      </w:r>
      <w:r>
        <w:rPr>
          <w:rFonts w:hint="eastAsia" w:ascii="宋体" w:hAnsi="宋体" w:eastAsia="宋体" w:cs="宋体"/>
          <w:b/>
          <w:bCs/>
          <w:szCs w:val="21"/>
          <w:lang w:eastAsia="zh-CN"/>
        </w:rPr>
        <w:t>；</w:t>
      </w:r>
    </w:p>
    <w:p w14:paraId="5A6BE389">
      <w:pPr>
        <w:adjustRightInd w:val="0"/>
        <w:snapToGrid w:val="0"/>
        <w:spacing w:after="157" w:afterLines="50" w:line="240" w:lineRule="auto"/>
        <w:ind w:firstLine="422" w:firstLineChars="200"/>
        <w:rPr>
          <w:rFonts w:hint="eastAsia" w:ascii="宋体" w:hAnsi="宋体" w:eastAsia="宋体" w:cs="宋体"/>
          <w:b/>
          <w:bCs/>
          <w:szCs w:val="21"/>
          <w:lang w:eastAsia="zh-CN"/>
        </w:rPr>
      </w:pPr>
      <w:r>
        <w:rPr>
          <w:rFonts w:hint="eastAsia" w:ascii="宋体" w:hAnsi="宋体" w:eastAsia="宋体" w:cs="宋体"/>
          <w:b/>
          <w:bCs/>
          <w:szCs w:val="21"/>
        </w:rPr>
        <w:t>除投保人、被保险人故意制造保险事故外，若由于本保险合同中责任免除的原因或者情形导致的被保险人身故，保险人将退还本保险合同的未满期净保费</w:t>
      </w:r>
      <w:r>
        <w:rPr>
          <w:rFonts w:hint="eastAsia" w:ascii="宋体" w:hAnsi="宋体" w:eastAsia="宋体" w:cs="宋体"/>
          <w:b/>
          <w:bCs/>
          <w:szCs w:val="21"/>
          <w:lang w:eastAsia="zh-CN"/>
        </w:rPr>
        <w:t>。</w:t>
      </w:r>
    </w:p>
    <w:p w14:paraId="612ABDFB">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eastAsia="zh-CN"/>
        </w:rPr>
        <w:t>六、</w:t>
      </w:r>
      <w:r>
        <w:rPr>
          <w:rFonts w:hint="eastAsia" w:ascii="宋体" w:hAnsi="宋体" w:eastAsia="宋体" w:cs="宋体"/>
          <w:b/>
          <w:bCs/>
          <w:szCs w:val="21"/>
        </w:rPr>
        <w:t>投保前已有的未告知的既往症（详见释义）；</w:t>
      </w:r>
    </w:p>
    <w:p w14:paraId="0675BF3B">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eastAsia="zh-CN"/>
        </w:rPr>
        <w:t>七、</w:t>
      </w:r>
      <w:r>
        <w:rPr>
          <w:rFonts w:hint="eastAsia" w:ascii="宋体" w:hAnsi="宋体" w:eastAsia="宋体" w:cs="宋体"/>
          <w:b/>
          <w:bCs/>
          <w:szCs w:val="21"/>
        </w:rPr>
        <w:t>被保险人对首次投保前</w:t>
      </w:r>
      <w:r>
        <w:rPr>
          <w:rFonts w:hint="eastAsia" w:ascii="宋体" w:hAnsi="宋体" w:eastAsia="宋体" w:cs="宋体"/>
          <w:b/>
          <w:bCs/>
          <w:szCs w:val="21"/>
          <w:lang w:eastAsia="zh-CN"/>
        </w:rPr>
        <w:t>或等待期内</w:t>
      </w:r>
      <w:r>
        <w:rPr>
          <w:rFonts w:hint="eastAsia" w:ascii="宋体" w:hAnsi="宋体" w:eastAsia="宋体" w:cs="宋体"/>
          <w:b/>
          <w:bCs/>
          <w:szCs w:val="21"/>
        </w:rPr>
        <w:t>（详见释义）已患未治愈疾病（详见释义）。</w:t>
      </w:r>
    </w:p>
    <w:p w14:paraId="619391D9">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在下列期间被保险人身故或者伤残的，保险人不承担保险责任：</w:t>
      </w:r>
    </w:p>
    <w:p w14:paraId="11674665">
      <w:pPr>
        <w:adjustRightInd w:val="0"/>
        <w:snapToGrid w:val="0"/>
        <w:spacing w:after="157" w:afterLines="50" w:line="240" w:lineRule="auto"/>
        <w:ind w:firstLine="422" w:firstLineChars="200"/>
        <w:rPr>
          <w:rFonts w:hint="eastAsia" w:ascii="宋体" w:hAnsi="宋体" w:eastAsia="宋体" w:cs="宋体"/>
          <w:b/>
          <w:bCs/>
          <w:szCs w:val="21"/>
          <w:lang w:eastAsia="zh-CN"/>
        </w:rPr>
      </w:pPr>
      <w:r>
        <w:rPr>
          <w:rFonts w:hint="eastAsia" w:ascii="宋体" w:hAnsi="宋体" w:eastAsia="宋体" w:cs="宋体"/>
          <w:b/>
          <w:bCs/>
          <w:szCs w:val="21"/>
          <w:lang w:eastAsia="zh-CN"/>
        </w:rPr>
        <w:t>一、</w:t>
      </w:r>
      <w:r>
        <w:rPr>
          <w:rFonts w:hint="eastAsia" w:ascii="宋体" w:hAnsi="宋体" w:eastAsia="宋体" w:cs="宋体"/>
          <w:b/>
          <w:bCs/>
          <w:szCs w:val="21"/>
        </w:rPr>
        <w:t>被保险人服用、吸食或注射毒品；</w:t>
      </w:r>
    </w:p>
    <w:p w14:paraId="3E80E38D">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eastAsia="zh-CN"/>
        </w:rPr>
        <w:t>二</w:t>
      </w:r>
      <w:r>
        <w:rPr>
          <w:rFonts w:hint="eastAsia" w:ascii="宋体" w:hAnsi="宋体" w:eastAsia="宋体" w:cs="宋体"/>
          <w:b/>
          <w:bCs/>
          <w:szCs w:val="21"/>
        </w:rPr>
        <w:t>、被保险人酒后驾驶（见释义）机动车</w:t>
      </w:r>
      <w:r>
        <w:rPr>
          <w:rFonts w:hint="eastAsia" w:ascii="宋体" w:hAnsi="宋体" w:eastAsia="宋体" w:cs="宋体"/>
          <w:b/>
          <w:bCs/>
          <w:szCs w:val="21"/>
          <w:lang w:eastAsia="zh-CN"/>
        </w:rPr>
        <w:t>、</w:t>
      </w:r>
      <w:r>
        <w:rPr>
          <w:rFonts w:hint="eastAsia" w:ascii="宋体" w:hAnsi="宋体" w:eastAsia="宋体" w:cs="宋体"/>
          <w:b/>
          <w:bCs/>
          <w:szCs w:val="21"/>
        </w:rPr>
        <w:t>无合法有效驾驶证（见释义）驾驶机动车</w:t>
      </w:r>
      <w:r>
        <w:rPr>
          <w:rFonts w:hint="eastAsia" w:ascii="宋体" w:hAnsi="宋体" w:eastAsia="宋体" w:cs="宋体"/>
          <w:b/>
          <w:bCs/>
          <w:szCs w:val="21"/>
          <w:lang w:eastAsia="zh-CN"/>
        </w:rPr>
        <w:t>或</w:t>
      </w:r>
      <w:r>
        <w:rPr>
          <w:rFonts w:hint="eastAsia" w:ascii="宋体" w:hAnsi="宋体" w:eastAsia="宋体" w:cs="宋体"/>
          <w:b/>
          <w:bCs/>
          <w:szCs w:val="21"/>
        </w:rPr>
        <w:t>驾驶无合法有效行驶证（见释义）的机动车；</w:t>
      </w:r>
    </w:p>
    <w:p w14:paraId="17229DBF">
      <w:pPr>
        <w:adjustRightInd w:val="0"/>
        <w:snapToGrid w:val="0"/>
        <w:spacing w:after="157" w:afterLines="50" w:line="240" w:lineRule="auto"/>
        <w:ind w:firstLine="422" w:firstLineChars="200"/>
        <w:rPr>
          <w:rFonts w:hint="eastAsia" w:ascii="宋体" w:hAnsi="宋体" w:eastAsia="宋体" w:cs="宋体"/>
          <w:b/>
          <w:bCs/>
          <w:szCs w:val="21"/>
          <w:lang w:eastAsia="zh-CN"/>
        </w:rPr>
      </w:pPr>
      <w:r>
        <w:rPr>
          <w:rFonts w:hint="eastAsia" w:ascii="宋体" w:hAnsi="宋体" w:eastAsia="宋体" w:cs="宋体"/>
          <w:b/>
          <w:bCs/>
          <w:szCs w:val="21"/>
          <w:lang w:eastAsia="zh-CN"/>
        </w:rPr>
        <w:t>三</w:t>
      </w:r>
      <w:r>
        <w:rPr>
          <w:rFonts w:hint="eastAsia" w:ascii="宋体" w:hAnsi="宋体" w:eastAsia="宋体" w:cs="宋体"/>
          <w:b/>
          <w:bCs/>
          <w:szCs w:val="21"/>
        </w:rPr>
        <w:t>、被保险人感染艾滋病病毒或患艾滋病；</w:t>
      </w:r>
    </w:p>
    <w:p w14:paraId="004A5F87">
      <w:pPr>
        <w:adjustRightInd w:val="0"/>
        <w:snapToGrid w:val="0"/>
        <w:spacing w:after="157" w:afterLines="50" w:line="240" w:lineRule="auto"/>
        <w:ind w:firstLine="422" w:firstLineChars="200"/>
        <w:rPr>
          <w:rFonts w:hint="eastAsia" w:ascii="宋体" w:hAnsi="宋体" w:eastAsia="宋体" w:cs="宋体"/>
          <w:b/>
          <w:bCs/>
          <w:szCs w:val="21"/>
          <w:lang w:eastAsia="zh-CN"/>
        </w:rPr>
      </w:pPr>
      <w:r>
        <w:rPr>
          <w:rFonts w:hint="eastAsia" w:ascii="宋体" w:hAnsi="宋体" w:eastAsia="宋体" w:cs="宋体"/>
          <w:b/>
          <w:bCs/>
          <w:szCs w:val="21"/>
          <w:lang w:eastAsia="zh-CN"/>
        </w:rPr>
        <w:t>四</w:t>
      </w:r>
      <w:r>
        <w:rPr>
          <w:rFonts w:hint="eastAsia" w:ascii="宋体" w:hAnsi="宋体" w:eastAsia="宋体" w:cs="宋体"/>
          <w:b/>
          <w:bCs/>
          <w:szCs w:val="21"/>
        </w:rPr>
        <w:t>、战争、军事冲突、暴乱或武装叛乱</w:t>
      </w:r>
      <w:r>
        <w:rPr>
          <w:rFonts w:hint="eastAsia" w:ascii="宋体" w:hAnsi="宋体" w:eastAsia="宋体" w:cs="宋体"/>
          <w:b/>
          <w:bCs/>
          <w:szCs w:val="21"/>
          <w:lang w:eastAsia="zh-CN"/>
        </w:rPr>
        <w:t>。</w:t>
      </w:r>
    </w:p>
    <w:p w14:paraId="65BA741C">
      <w:pPr>
        <w:spacing w:after="157" w:afterLines="50" w:line="240" w:lineRule="auto"/>
        <w:jc w:val="center"/>
        <w:rPr>
          <w:rFonts w:hint="eastAsia" w:ascii="宋体" w:hAnsi="宋体" w:eastAsia="宋体" w:cs="宋体"/>
          <w:b/>
          <w:szCs w:val="21"/>
        </w:rPr>
      </w:pPr>
      <w:r>
        <w:rPr>
          <w:rFonts w:hint="eastAsia" w:ascii="宋体" w:hAnsi="宋体" w:eastAsia="宋体" w:cs="宋体"/>
          <w:b/>
          <w:szCs w:val="21"/>
        </w:rPr>
        <w:t>第三部分 保险期间、保险金额和保险费</w:t>
      </w:r>
    </w:p>
    <w:p w14:paraId="1EAD69F1">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第六条 保险期间</w:t>
      </w:r>
    </w:p>
    <w:p w14:paraId="57B27E4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本附加险合同保险期间与主险合同一致，以保险单载明的起讫时间为准。本产品为不保证续保产品，保险期间届满，您需要重新向我们申请投保本产品，并经我们同意，交纳保险费，获得新的保险合同。</w:t>
      </w:r>
    </w:p>
    <w:p w14:paraId="6F53A364">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第七条 保险金额</w:t>
      </w:r>
    </w:p>
    <w:p w14:paraId="1F37DFAA">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保险金额是保险人承担给付保险金责任的最高限额。本附加险合同保险金额由投保人、保险人双方约定，并在保险单中载明。</w:t>
      </w:r>
      <w:r>
        <w:rPr>
          <w:rFonts w:hint="eastAsia" w:ascii="宋体" w:hAnsi="宋体" w:eastAsia="宋体" w:cs="宋体"/>
          <w:b/>
          <w:bCs/>
          <w:szCs w:val="21"/>
        </w:rPr>
        <w:t>保险金额一经确定，在本附加险合同保险期间内不得变更。</w:t>
      </w:r>
    </w:p>
    <w:p w14:paraId="019EC32B">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 xml:space="preserve">第八条 保险费  </w:t>
      </w:r>
    </w:p>
    <w:p w14:paraId="7CE974D9">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保险费的交付方式、交付日期与主险合同相同。</w:t>
      </w:r>
    </w:p>
    <w:p w14:paraId="60BF7DFC">
      <w:pPr>
        <w:spacing w:after="157" w:afterLines="50" w:line="240" w:lineRule="auto"/>
        <w:jc w:val="center"/>
        <w:rPr>
          <w:rFonts w:hint="eastAsia" w:ascii="宋体" w:hAnsi="宋体" w:eastAsia="宋体" w:cs="宋体"/>
          <w:b/>
          <w:szCs w:val="21"/>
        </w:rPr>
      </w:pPr>
      <w:r>
        <w:rPr>
          <w:rFonts w:hint="eastAsia" w:ascii="宋体" w:hAnsi="宋体" w:eastAsia="宋体" w:cs="宋体"/>
          <w:b/>
          <w:szCs w:val="21"/>
        </w:rPr>
        <w:t>第四部分 保险金申请与给付</w:t>
      </w:r>
    </w:p>
    <w:p w14:paraId="50668090">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szCs w:val="21"/>
        </w:rPr>
        <w:t>第九条</w:t>
      </w:r>
      <w:r>
        <w:rPr>
          <w:rFonts w:hint="eastAsia" w:ascii="宋体" w:hAnsi="宋体" w:eastAsia="宋体" w:cs="宋体"/>
          <w:szCs w:val="21"/>
        </w:rPr>
        <w:t xml:space="preserve"> </w:t>
      </w:r>
      <w:r>
        <w:rPr>
          <w:rFonts w:hint="eastAsia" w:ascii="宋体" w:hAnsi="宋体" w:eastAsia="宋体" w:cs="宋体"/>
          <w:b/>
          <w:szCs w:val="21"/>
        </w:rPr>
        <w:t>保险金申请人（见释义，下同）</w:t>
      </w:r>
      <w:r>
        <w:rPr>
          <w:rFonts w:hint="eastAsia" w:ascii="宋体" w:hAnsi="宋体" w:eastAsia="宋体" w:cs="宋体"/>
          <w:szCs w:val="21"/>
        </w:rPr>
        <w:t>向保险人申请给付保险金时，应提交以下材料。保险金申请人因特殊原因不能提供以下材料的，应提供其他合法有效的材料。</w:t>
      </w:r>
      <w:r>
        <w:rPr>
          <w:rFonts w:hint="eastAsia" w:ascii="宋体" w:hAnsi="宋体" w:eastAsia="宋体" w:cs="宋体"/>
          <w:b/>
          <w:bCs/>
          <w:szCs w:val="21"/>
        </w:rPr>
        <w:t>保险金申请人未能提供有关材料，导致保险人无法核实该申请的真实性的，保险人对无法核实部分不承担给付保险金的责任。</w:t>
      </w:r>
    </w:p>
    <w:p w14:paraId="28770AE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一、保险金给付申请书；</w:t>
      </w:r>
    </w:p>
    <w:p w14:paraId="6E9EEB2D">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二、保险金申请人和被保险人的有效身份证明；</w:t>
      </w:r>
    </w:p>
    <w:p w14:paraId="653360D6">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三、医院出具的附有病理显微镜检查、血液检验及其它客观医学方法检验报告的疾病诊断证明书（包括但不限于诊断全称、病历和治疗过程），病理报告、血液或淋巴检验报告；如有必要，保险人有权对被保险人进行复检，复检费用由保险人承担；</w:t>
      </w:r>
    </w:p>
    <w:p w14:paraId="46616EF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四、保险金申请人所能提供的与确认保险事故的性质、原因、损失程度等有关的其他证明和资料；</w:t>
      </w:r>
    </w:p>
    <w:p w14:paraId="7598059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五、若保险金申请人委托他人申请的，还应提供授权委托书原件、委托人和受托人的身份证明等相关证明文件。受益人为无民事行为能力人或者限制民事行为能力人的，由其监护人代为申领保险金，并需要提供监护人的身份、关系证明等资料。</w:t>
      </w:r>
    </w:p>
    <w:p w14:paraId="69F14DB8">
      <w:pPr>
        <w:spacing w:after="157" w:afterLines="50" w:line="240" w:lineRule="auto"/>
        <w:jc w:val="center"/>
        <w:rPr>
          <w:rFonts w:hint="eastAsia" w:ascii="宋体" w:hAnsi="宋体" w:eastAsia="宋体" w:cs="宋体"/>
          <w:b/>
          <w:szCs w:val="21"/>
        </w:rPr>
      </w:pPr>
      <w:r>
        <w:rPr>
          <w:rFonts w:hint="eastAsia" w:ascii="宋体" w:hAnsi="宋体" w:eastAsia="宋体" w:cs="宋体"/>
          <w:b/>
          <w:szCs w:val="21"/>
        </w:rPr>
        <w:t>第五部分 合同解除和效力终止</w:t>
      </w:r>
    </w:p>
    <w:p w14:paraId="2DFB0FED">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第十条 合同解除</w:t>
      </w:r>
    </w:p>
    <w:p w14:paraId="221FA874">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投保人可以要求单独解除本附加险合同。</w:t>
      </w:r>
      <w:r>
        <w:rPr>
          <w:rFonts w:hint="eastAsia" w:ascii="宋体" w:hAnsi="宋体" w:eastAsia="宋体" w:cs="宋体"/>
          <w:b/>
          <w:bCs/>
          <w:szCs w:val="21"/>
        </w:rPr>
        <w:t>若投保人书面通知要求解除主险合同，本附加险合同一并解除。但已发生本附加险合同约定的保险事故但尚未给付保险金的，投保人不得要求解除本附加险合同。</w:t>
      </w:r>
      <w:r>
        <w:rPr>
          <w:rFonts w:hint="eastAsia" w:ascii="宋体" w:hAnsi="宋体" w:eastAsia="宋体" w:cs="宋体"/>
          <w:szCs w:val="21"/>
        </w:rPr>
        <w:t>投保人要求解除本附加险合同时，应提供下列证明和资料：</w:t>
      </w:r>
    </w:p>
    <w:p w14:paraId="26F88C7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一、保险单；</w:t>
      </w:r>
    </w:p>
    <w:p w14:paraId="11CA341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二、解除合同申请书；</w:t>
      </w:r>
    </w:p>
    <w:p w14:paraId="4E6461B3">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三、投保人法定身份证明。</w:t>
      </w:r>
    </w:p>
    <w:p w14:paraId="51BB316C">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本附加险合同解除后，保险人参照主险合同有关约定退还本附加险合同的未满期净保费。</w:t>
      </w:r>
    </w:p>
    <w:p w14:paraId="016AFE42">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第十一条 效力终止</w:t>
      </w:r>
    </w:p>
    <w:p w14:paraId="092A788D">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发生下列情形之一时，本附加险合同效力终止：</w:t>
      </w:r>
    </w:p>
    <w:p w14:paraId="3D64F8F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一、主险合同效力终止；</w:t>
      </w:r>
    </w:p>
    <w:p w14:paraId="6A0ED906">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二、被保险人身故；</w:t>
      </w:r>
    </w:p>
    <w:p w14:paraId="7A498E3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三、投保人解除本附加险合同；</w:t>
      </w:r>
    </w:p>
    <w:p w14:paraId="45D69F8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四、保险期间届满；</w:t>
      </w:r>
    </w:p>
    <w:p w14:paraId="19EA433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五、本附加险合同约定的其他终止事项。</w:t>
      </w:r>
    </w:p>
    <w:p w14:paraId="1C2E5266">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本附加险合同效力终止时，未发生保险金给付的，保险人参照主险合同有关约定退还本附加险合同未满期净保费；已发生本附加险合同约定的保险事故但尚未给付保险金的，本公司不退还任何保险费。</w:t>
      </w:r>
    </w:p>
    <w:p w14:paraId="165AA780">
      <w:pPr>
        <w:spacing w:after="157" w:afterLines="50" w:line="240" w:lineRule="auto"/>
        <w:jc w:val="center"/>
        <w:rPr>
          <w:rFonts w:hint="eastAsia" w:ascii="宋体" w:hAnsi="宋体" w:eastAsia="宋体" w:cs="宋体"/>
          <w:b/>
          <w:szCs w:val="21"/>
        </w:rPr>
      </w:pPr>
      <w:r>
        <w:rPr>
          <w:rFonts w:hint="eastAsia" w:ascii="宋体" w:hAnsi="宋体" w:eastAsia="宋体" w:cs="宋体"/>
          <w:b/>
          <w:szCs w:val="21"/>
        </w:rPr>
        <w:t>第六部分 重大疾病定义</w:t>
      </w:r>
    </w:p>
    <w:p w14:paraId="16E506D4">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本附加险条款所定义的重大疾病共有29种，其中第1至28种重大疾病为中国保险行业协会颁布的《重大疾病保险的疾病定义使用规范（2020年修订版）》（以下简称“规范”）规定的疾病，且疾病名称和疾病定义与“规范”一致，第29种重大疾病为“规范”规定范围之外的疾病。</w:t>
      </w:r>
    </w:p>
    <w:p w14:paraId="73E87FBA">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szCs w:val="21"/>
        </w:rPr>
        <w:t>第十二条</w:t>
      </w:r>
      <w:r>
        <w:rPr>
          <w:rFonts w:hint="eastAsia" w:ascii="宋体" w:hAnsi="宋体" w:eastAsia="宋体" w:cs="宋体"/>
          <w:b/>
          <w:bCs/>
          <w:szCs w:val="21"/>
        </w:rPr>
        <w:t xml:space="preserve"> 重大疾病：</w:t>
      </w:r>
      <w:r>
        <w:rPr>
          <w:rFonts w:hint="eastAsia" w:ascii="宋体" w:hAnsi="宋体" w:eastAsia="宋体" w:cs="宋体"/>
          <w:szCs w:val="21"/>
        </w:rPr>
        <w:t>指由</w:t>
      </w:r>
      <w:r>
        <w:rPr>
          <w:rFonts w:hint="eastAsia" w:ascii="宋体" w:hAnsi="宋体" w:eastAsia="宋体" w:cs="宋体"/>
          <w:b/>
          <w:bCs/>
          <w:szCs w:val="21"/>
        </w:rPr>
        <w:t>专科医生(见释义，下同)</w:t>
      </w:r>
      <w:r>
        <w:rPr>
          <w:rFonts w:hint="eastAsia" w:ascii="宋体" w:hAnsi="宋体" w:eastAsia="宋体" w:cs="宋体"/>
          <w:szCs w:val="21"/>
        </w:rPr>
        <w:t>明确诊断被保险人初次患有符合下列疾病定义所述条件的疾病、疾病状态或手术：</w:t>
      </w:r>
    </w:p>
    <w:p w14:paraId="66108B5D">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一、恶性肿瘤——重度</w:t>
      </w:r>
    </w:p>
    <w:p w14:paraId="44EFE33E">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指恶性细胞不受控制的进行性增长和扩散，浸润和破坏周围正常组织，可以经血管、淋巴管和体腔扩散转移到身体其他部位，病灶经组织病理学检查（涵盖骨髓病理学检查）</w:t>
      </w:r>
      <w:r>
        <w:rPr>
          <w:rFonts w:hint="eastAsia" w:ascii="宋体" w:hAnsi="宋体" w:eastAsia="宋体" w:cs="宋体"/>
          <w:szCs w:val="21"/>
        </w:rPr>
        <w:footnoteReference w:id="0"/>
      </w:r>
      <w:r>
        <w:rPr>
          <w:rFonts w:hint="eastAsia" w:ascii="宋体" w:hAnsi="宋体" w:eastAsia="宋体" w:cs="宋体"/>
          <w:szCs w:val="21"/>
        </w:rPr>
        <w:t>结果明确诊断，临床诊断属于世界卫生组织（WHO，World Health Organization）《疾病和有关健康问题的国际统计分类》第十次修订版（ICD-10）的恶性肿瘤类别及《国际疾病分类肿瘤学专辑》第三版（ICD-O-3）</w:t>
      </w:r>
      <w:r>
        <w:rPr>
          <w:rFonts w:hint="eastAsia" w:ascii="宋体" w:hAnsi="宋体" w:eastAsia="宋体" w:cs="宋体"/>
          <w:szCs w:val="21"/>
        </w:rPr>
        <w:footnoteReference w:id="1"/>
      </w:r>
      <w:r>
        <w:rPr>
          <w:rFonts w:hint="eastAsia" w:ascii="宋体" w:hAnsi="宋体" w:eastAsia="宋体" w:cs="宋体"/>
          <w:szCs w:val="21"/>
        </w:rPr>
        <w:t>的肿瘤形态学编码属于3、6、9（恶性肿瘤）范畴的疾病。</w:t>
      </w:r>
    </w:p>
    <w:p w14:paraId="3D2AE520">
      <w:pPr>
        <w:adjustRightInd w:val="0"/>
        <w:snapToGrid w:val="0"/>
        <w:spacing w:after="157" w:afterLines="50" w:line="240" w:lineRule="auto"/>
        <w:ind w:firstLine="420" w:firstLineChars="200"/>
        <w:rPr>
          <w:rFonts w:hint="eastAsia" w:ascii="宋体" w:hAnsi="宋体" w:eastAsia="宋体" w:cs="宋体"/>
          <w:b w:val="0"/>
          <w:bCs w:val="0"/>
          <w:szCs w:val="21"/>
        </w:rPr>
      </w:pPr>
      <w:r>
        <w:rPr>
          <w:rFonts w:hint="eastAsia" w:ascii="宋体" w:hAnsi="宋体" w:eastAsia="宋体" w:cs="宋体"/>
          <w:b w:val="0"/>
          <w:bCs w:val="0"/>
          <w:szCs w:val="21"/>
        </w:rPr>
        <w:t>下列疾病不属于“恶性肿瘤——重度”，不在保障范围内：</w:t>
      </w:r>
    </w:p>
    <w:p w14:paraId="342DD102">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1.</w:t>
      </w:r>
      <w:r>
        <w:rPr>
          <w:rFonts w:hint="eastAsia" w:ascii="宋体" w:hAnsi="宋体" w:eastAsia="宋体" w:cs="宋体"/>
          <w:b/>
          <w:bCs/>
          <w:szCs w:val="21"/>
        </w:rPr>
        <w:t>ICD-O-3肿瘤形态学编码属于0（良性肿瘤）、1（动态未定性肿瘤）、2（原位癌和非侵袭性癌）范畴的疾病，如：</w:t>
      </w:r>
    </w:p>
    <w:p w14:paraId="6501803B">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a)</w:t>
      </w:r>
      <w:r>
        <w:rPr>
          <w:rFonts w:hint="eastAsia" w:ascii="宋体" w:hAnsi="宋体" w:eastAsia="宋体" w:cs="宋体"/>
          <w:b/>
          <w:bCs/>
          <w:szCs w:val="21"/>
        </w:rPr>
        <w:t>原位癌，癌前病变，非浸润性癌，非侵袭性癌，肿瘤细胞未侵犯基底层，上皮内瘤变，细胞不典型性增生等；</w:t>
      </w:r>
    </w:p>
    <w:p w14:paraId="12026CEA">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b)</w:t>
      </w:r>
      <w:r>
        <w:rPr>
          <w:rFonts w:hint="eastAsia" w:ascii="宋体" w:hAnsi="宋体" w:eastAsia="宋体" w:cs="宋体"/>
          <w:b/>
          <w:bCs/>
          <w:szCs w:val="21"/>
        </w:rPr>
        <w:t>交界性肿瘤，交界恶性肿瘤，肿瘤低度恶性潜能，潜在低度恶性肿瘤等；</w:t>
      </w:r>
    </w:p>
    <w:p w14:paraId="7C58E5D9">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2.</w:t>
      </w:r>
      <w:r>
        <w:rPr>
          <w:rFonts w:hint="eastAsia" w:ascii="宋体" w:hAnsi="宋体" w:eastAsia="宋体" w:cs="宋体"/>
          <w:b/>
          <w:bCs/>
          <w:szCs w:val="21"/>
        </w:rPr>
        <w:t>TNM分期为Ⅰ期或更轻分期的甲状腺癌</w:t>
      </w:r>
      <w:r>
        <w:rPr>
          <w:rFonts w:hint="eastAsia" w:ascii="宋体" w:hAnsi="宋体" w:eastAsia="宋体" w:cs="宋体"/>
          <w:b/>
          <w:bCs/>
          <w:szCs w:val="21"/>
        </w:rPr>
        <w:footnoteReference w:id="2"/>
      </w:r>
      <w:r>
        <w:rPr>
          <w:rFonts w:hint="eastAsia" w:ascii="宋体" w:hAnsi="宋体" w:eastAsia="宋体" w:cs="宋体"/>
          <w:b/>
          <w:bCs/>
          <w:szCs w:val="21"/>
        </w:rPr>
        <w:t>；</w:t>
      </w:r>
    </w:p>
    <w:p w14:paraId="3DA3786C">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3.</w:t>
      </w:r>
      <w:r>
        <w:rPr>
          <w:rFonts w:hint="eastAsia" w:ascii="宋体" w:hAnsi="宋体" w:eastAsia="宋体" w:cs="宋体"/>
          <w:b/>
          <w:bCs/>
          <w:szCs w:val="21"/>
        </w:rPr>
        <w:t>TNM分期为T1N0M0期或更轻分期的前列腺癌；</w:t>
      </w:r>
    </w:p>
    <w:p w14:paraId="648055E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4.</w:t>
      </w:r>
      <w:r>
        <w:rPr>
          <w:rFonts w:hint="eastAsia" w:ascii="宋体" w:hAnsi="宋体" w:eastAsia="宋体" w:cs="宋体"/>
          <w:b/>
          <w:bCs/>
          <w:szCs w:val="21"/>
        </w:rPr>
        <w:t>黑色素瘤以外的未发生淋巴结和远处转移的皮肤恶性肿瘤；</w:t>
      </w:r>
    </w:p>
    <w:p w14:paraId="3868A9D3">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5.</w:t>
      </w:r>
      <w:r>
        <w:rPr>
          <w:rFonts w:hint="eastAsia" w:ascii="宋体" w:hAnsi="宋体" w:eastAsia="宋体" w:cs="宋体"/>
          <w:b/>
          <w:bCs/>
          <w:szCs w:val="21"/>
        </w:rPr>
        <w:t>相当于Binet分期方案A期程度的慢性淋巴细胞白血病；</w:t>
      </w:r>
    </w:p>
    <w:p w14:paraId="0D80E722">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6.</w:t>
      </w:r>
      <w:r>
        <w:rPr>
          <w:rFonts w:hint="eastAsia" w:ascii="宋体" w:hAnsi="宋体" w:eastAsia="宋体" w:cs="宋体"/>
          <w:b/>
          <w:bCs/>
          <w:szCs w:val="21"/>
        </w:rPr>
        <w:t>相当于Ann Arbor分期方案Ⅰ期程度的何杰金氏病；</w:t>
      </w:r>
    </w:p>
    <w:p w14:paraId="3ED8AF0B">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lang w:val="en-US" w:eastAsia="zh-CN"/>
        </w:rPr>
        <w:t>7.</w:t>
      </w:r>
      <w:r>
        <w:rPr>
          <w:rFonts w:hint="eastAsia" w:ascii="宋体" w:hAnsi="宋体" w:eastAsia="宋体" w:cs="宋体"/>
          <w:b/>
          <w:bCs/>
          <w:szCs w:val="21"/>
        </w:rPr>
        <w:t>未发生淋巴结和远处转移且WHO分级为G1级别（核分裂像&lt;10/50HPF和ki-67≤2%）或更轻分级的神经内分泌肿瘤。</w:t>
      </w:r>
    </w:p>
    <w:p w14:paraId="7E98CD7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二、较重急性心肌梗死</w:t>
      </w:r>
    </w:p>
    <w:p w14:paraId="05CD992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急性心肌梗死指由于冠状动脉闭塞或梗阻引起部分心肌严重的持久性缺血造成急性心肌坏死。急性心肌梗死的诊断必须依据国际国内诊断标准，符合（1）检测到肌酸激酶同工酶（CK-MB）或肌钙蛋白（cTn）升高和/或降低的动态变化，至少一次达到或超过心肌梗死的临床诊断标准；（2）同时存在下列之一的证据，包括：缺血性胸痛症状、新发生的缺血性心电图改变、新生成的病理性Q波、影像学证据显示有新出现的心肌活性丧失或新出现局部室壁运动异常、冠脉造影证实存在冠状动脉血栓。</w:t>
      </w:r>
    </w:p>
    <w:p w14:paraId="6E4CA9F7">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较重急性心肌梗死</w:t>
      </w:r>
      <w:r>
        <w:rPr>
          <w:rFonts w:hint="eastAsia" w:ascii="宋体" w:hAnsi="宋体" w:eastAsia="宋体" w:cs="宋体"/>
          <w:szCs w:val="21"/>
        </w:rPr>
        <w:t>指依照上述标准被明确诊断为急性心肌梗死，并且必须同时满足下列至少一项条件：</w:t>
      </w:r>
    </w:p>
    <w:p w14:paraId="3E97240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（1）心肌损伤标志物肌钙蛋白（cTn）升高，至少一次检测结果达到该检验正常参考值上限的15倍（含）以上；</w:t>
      </w:r>
    </w:p>
    <w:p w14:paraId="50CC168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（2）肌酸激酶同工酶（CK-MB）升高，至少一次检测结果达到该检验正常参考值上限的2倍（含）以上；</w:t>
      </w:r>
    </w:p>
    <w:p w14:paraId="72646333">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（3）出现左心室收缩功能下降，在确诊6周以后，检测左室射血分数（LVEF）低于50%（不含）；</w:t>
      </w:r>
    </w:p>
    <w:p w14:paraId="5F00CBF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（4）影像学检查证实存在新发的乳头肌功能失调或断裂引起的中度（含）以上的二尖瓣反流；</w:t>
      </w:r>
    </w:p>
    <w:p w14:paraId="0EAEE36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（5）影像学检查证实存在新出现的室壁瘤；</w:t>
      </w:r>
    </w:p>
    <w:p w14:paraId="17B3C3E2">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（6）出现室性心动过速、心室颤动或心源性休克。</w:t>
      </w:r>
    </w:p>
    <w:p w14:paraId="47DF369C">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其他非冠状动脉阻塞性疾病所引起的肌钙蛋白（cTn）升高不在保障范围内。</w:t>
      </w:r>
    </w:p>
    <w:p w14:paraId="75F3689C">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三、严重脑中风后遗症</w:t>
      </w:r>
      <w:r>
        <w:rPr>
          <w:rFonts w:hint="eastAsia" w:ascii="宋体" w:hAnsi="宋体" w:eastAsia="宋体" w:cs="宋体"/>
          <w:szCs w:val="21"/>
        </w:rPr>
        <w:tab/>
      </w:r>
    </w:p>
    <w:p w14:paraId="2B6271B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脑血管的突发病变引起脑血管出血、栓塞或梗塞，须由头颅断层扫描（CT）、核磁共振检查（MRI）等影像学检查证实，并导致神经系统永久性的功能障碍。神经系统永久性的功能障碍，指疾病确诊180天后，仍遗留下列至少一种障碍：</w:t>
      </w:r>
    </w:p>
    <w:p w14:paraId="5E0FB7F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（1）一肢（含）以上肢体</w:t>
      </w:r>
      <w:r>
        <w:rPr>
          <w:rFonts w:hint="eastAsia" w:ascii="宋体" w:hAnsi="宋体" w:eastAsia="宋体" w:cs="宋体"/>
          <w:szCs w:val="21"/>
        </w:rPr>
        <w:footnoteReference w:id="3"/>
      </w:r>
      <w:r>
        <w:rPr>
          <w:rFonts w:hint="eastAsia" w:ascii="宋体" w:hAnsi="宋体" w:eastAsia="宋体" w:cs="宋体"/>
          <w:szCs w:val="21"/>
        </w:rPr>
        <w:t>肌力</w:t>
      </w:r>
      <w:r>
        <w:rPr>
          <w:rFonts w:hint="eastAsia" w:ascii="宋体" w:hAnsi="宋体" w:eastAsia="宋体" w:cs="宋体"/>
          <w:szCs w:val="21"/>
        </w:rPr>
        <w:footnoteReference w:id="4"/>
      </w:r>
      <w:r>
        <w:rPr>
          <w:rFonts w:hint="eastAsia" w:ascii="宋体" w:hAnsi="宋体" w:eastAsia="宋体" w:cs="宋体"/>
          <w:szCs w:val="21"/>
        </w:rPr>
        <w:t>2级（含）以下；</w:t>
      </w:r>
    </w:p>
    <w:p w14:paraId="1BA3B7A2">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（2）语言能力完全丧失</w:t>
      </w:r>
      <w:r>
        <w:rPr>
          <w:rFonts w:hint="eastAsia" w:ascii="宋体" w:hAnsi="宋体" w:eastAsia="宋体" w:cs="宋体"/>
          <w:szCs w:val="21"/>
        </w:rPr>
        <w:footnoteReference w:id="5"/>
      </w:r>
      <w:r>
        <w:rPr>
          <w:rFonts w:hint="eastAsia" w:ascii="宋体" w:hAnsi="宋体" w:eastAsia="宋体" w:cs="宋体"/>
          <w:szCs w:val="21"/>
        </w:rPr>
        <w:t>，或严重咀嚼吞咽功能障碍</w:t>
      </w:r>
      <w:r>
        <w:rPr>
          <w:rFonts w:hint="eastAsia" w:ascii="宋体" w:hAnsi="宋体" w:eastAsia="宋体" w:cs="宋体"/>
          <w:szCs w:val="21"/>
        </w:rPr>
        <w:footnoteReference w:id="6"/>
      </w:r>
      <w:r>
        <w:rPr>
          <w:rFonts w:hint="eastAsia" w:ascii="宋体" w:hAnsi="宋体" w:eastAsia="宋体" w:cs="宋体"/>
          <w:szCs w:val="21"/>
        </w:rPr>
        <w:t>；</w:t>
      </w:r>
    </w:p>
    <w:p w14:paraId="1F02003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（3）自主生活能力完全丧失，无法独立完成六项基本日常生活活动</w:t>
      </w:r>
      <w:r>
        <w:rPr>
          <w:rFonts w:hint="eastAsia" w:ascii="宋体" w:hAnsi="宋体" w:eastAsia="宋体" w:cs="宋体"/>
          <w:szCs w:val="21"/>
        </w:rPr>
        <w:footnoteReference w:id="7"/>
      </w:r>
      <w:r>
        <w:rPr>
          <w:rFonts w:hint="eastAsia" w:ascii="宋体" w:hAnsi="宋体" w:eastAsia="宋体" w:cs="宋体"/>
          <w:szCs w:val="21"/>
        </w:rPr>
        <w:t>中的三项或三项以上。</w:t>
      </w:r>
    </w:p>
    <w:p w14:paraId="398ACCCC">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四、重大器官移植术或造血干细胞移植术</w:t>
      </w:r>
    </w:p>
    <w:p w14:paraId="76405FDA">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重大器官移植术，指因相应器官功能衰竭，已经实施了肾脏、肝脏、心脏、肺脏或小肠的异体移植手术。</w:t>
      </w:r>
    </w:p>
    <w:p w14:paraId="48F919CE">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造血干细胞移植术，指因造血功能损害或造血系统恶性肿瘤，已经实施了造血干细胞（包括骨髓造血干细胞、外周血造血干细胞和脐血造血干细胞）的移植手术。</w:t>
      </w:r>
    </w:p>
    <w:p w14:paraId="314B5C8F">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五、冠状动脉搭桥术（或称冠状动脉旁路移植术）</w:t>
      </w:r>
    </w:p>
    <w:p w14:paraId="7B44E9FA">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指为治疗严重的冠心病，已经实施了切开心包进行的冠状动脉血管旁路移植的手术。</w:t>
      </w:r>
    </w:p>
    <w:p w14:paraId="54A65EEE">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所有未切开心包的冠状动脉介入治疗不在保障范围内。</w:t>
      </w:r>
    </w:p>
    <w:p w14:paraId="20DCE850">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六、严重慢性肾衰竭</w:t>
      </w:r>
    </w:p>
    <w:p w14:paraId="20BC12F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 xml:space="preserve">指双肾功能慢性不可逆性衰竭，依据肾脏病预后质量倡议（K/DOQI）制定的指南，分期达到慢性肾脏病5期，且经诊断后已经进行了至少90天的规律性透析治疗。规律性透析是指每周进行血液透析或每天进行腹膜透析。 </w:t>
      </w:r>
    </w:p>
    <w:p w14:paraId="5EEAFF41">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七、多个肢体缺失</w:t>
      </w:r>
    </w:p>
    <w:p w14:paraId="3A2D715C">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指因疾病或意外伤害导致两个或两个以上肢体自腕关节或踝关节近端（靠近躯干端）以上完全性断离。</w:t>
      </w:r>
    </w:p>
    <w:p w14:paraId="04CB796F">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八、急性重症肝炎或亚急性重症肝炎</w:t>
      </w:r>
    </w:p>
    <w:p w14:paraId="6510200B">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指因肝炎病毒感染引起肝脏组织弥漫性坏死，导致急性肝功能衰竭，且经血清学或病毒学检查证实，并须满足下列全部条件：</w:t>
      </w:r>
    </w:p>
    <w:p w14:paraId="19EFE814">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（1）重度黄疸或黄疸迅速加重；</w:t>
      </w:r>
    </w:p>
    <w:p w14:paraId="22ABFD7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（2）肝性脑病；</w:t>
      </w:r>
    </w:p>
    <w:p w14:paraId="339FAC7B">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（3）B超或其他影像学检查显示肝脏体积急速萎缩；</w:t>
      </w:r>
    </w:p>
    <w:p w14:paraId="0614F08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（4）肝功能指标进行性恶化。</w:t>
      </w:r>
    </w:p>
    <w:p w14:paraId="4A453C76">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九、严重非恶性颅内肿瘤</w:t>
      </w:r>
    </w:p>
    <w:p w14:paraId="53593E1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起源于脑、脑神经、脑被膜的非恶性肿瘤，ICD-O-3肿瘤形态学编码属于0（良性肿瘤）、1（动态未定性肿瘤）范畴，并已经引起颅内压升高或神经系统功能损害，出现视乳头水肿或视觉受损、听觉受损、面部或肢体瘫痪、癫痫等，须由头颅断层扫描（CT）、核磁共振检查（MRI）或正电子发射断层扫描（PET）等影像学检查证实，且须满足下列至少一项条件：</w:t>
      </w:r>
    </w:p>
    <w:p w14:paraId="18F18EED">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（1）已经实施了开颅进行的颅内肿瘤完全或部分切除手术；</w:t>
      </w:r>
    </w:p>
    <w:p w14:paraId="02D61929">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（2）已经实施了针对颅内肿瘤的放射治疗，如γ刀、质子重离子治疗等。</w:t>
      </w:r>
    </w:p>
    <w:p w14:paraId="46DE543A">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下列疾病不在保障范围内：</w:t>
      </w:r>
    </w:p>
    <w:p w14:paraId="2274E7CC">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（1）脑垂体瘤；</w:t>
      </w:r>
    </w:p>
    <w:p w14:paraId="559E1D22">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（2）脑囊肿；</w:t>
      </w:r>
    </w:p>
    <w:p w14:paraId="65F2B02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（3）颅内血管性疾病（如脑动脉瘤、脑动静脉畸形、海绵状血管瘤、毛细血管扩张症等）。</w:t>
      </w:r>
    </w:p>
    <w:p w14:paraId="1C552F07">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十、严重慢性肝衰竭</w:t>
      </w:r>
    </w:p>
    <w:p w14:paraId="7822CEA3">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指因慢性肝脏疾病导致的肝衰竭，且须满足下列全部条件：</w:t>
      </w:r>
    </w:p>
    <w:p w14:paraId="0C66220A">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（1）持续性黄疸；</w:t>
      </w:r>
    </w:p>
    <w:p w14:paraId="53C48A5B">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（2）腹水；</w:t>
      </w:r>
    </w:p>
    <w:p w14:paraId="01A56510">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（3）肝性脑病；</w:t>
      </w:r>
    </w:p>
    <w:p w14:paraId="73121034">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（4）充血性脾肿大伴脾功能亢进或食管胃底静脉曲张。</w:t>
      </w:r>
    </w:p>
    <w:p w14:paraId="646701BA">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因酗酒或药物滥用导致的肝衰竭不在保障范围内。</w:t>
      </w:r>
    </w:p>
    <w:p w14:paraId="49131449">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十一、严重脑炎后遗症或严重脑膜炎后遗症</w:t>
      </w:r>
    </w:p>
    <w:p w14:paraId="59DE790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指因患脑炎或脑膜炎导致的神经系统永久性的功能障碍。神经系统永久性的功能障碍，指经相关专科医生确诊疾病180天后，仍遗留下列至少一种障碍：</w:t>
      </w:r>
    </w:p>
    <w:p w14:paraId="6D250CA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rPr>
        <w:t>一肢（含）以上肢体肌力2级（含）以下；</w:t>
      </w:r>
    </w:p>
    <w:p w14:paraId="72964760">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语言能力完全丧失，或严重咀嚼吞咽功能障碍；</w:t>
      </w:r>
    </w:p>
    <w:p w14:paraId="5910D739">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3</w:t>
      </w:r>
      <w:r>
        <w:rPr>
          <w:rFonts w:hint="eastAsia" w:ascii="宋体" w:hAnsi="宋体" w:eastAsia="宋体" w:cs="宋体"/>
          <w:szCs w:val="21"/>
          <w:lang w:eastAsia="zh-CN"/>
        </w:rPr>
        <w:t>）</w:t>
      </w:r>
      <w:r>
        <w:rPr>
          <w:rFonts w:hint="eastAsia" w:ascii="宋体" w:hAnsi="宋体" w:eastAsia="宋体" w:cs="宋体"/>
          <w:szCs w:val="21"/>
        </w:rPr>
        <w:t>由具有评估资格的专科医生根据临床痴呆评定量表（CDR，Clinical Dementia Rating）评估结果为3分；</w:t>
      </w:r>
    </w:p>
    <w:p w14:paraId="5651475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4</w:t>
      </w:r>
      <w:r>
        <w:rPr>
          <w:rFonts w:hint="eastAsia" w:ascii="宋体" w:hAnsi="宋体" w:eastAsia="宋体" w:cs="宋体"/>
          <w:szCs w:val="21"/>
          <w:lang w:eastAsia="zh-CN"/>
        </w:rPr>
        <w:t>）</w:t>
      </w:r>
      <w:r>
        <w:rPr>
          <w:rFonts w:hint="eastAsia" w:ascii="宋体" w:hAnsi="宋体" w:eastAsia="宋体" w:cs="宋体"/>
          <w:szCs w:val="21"/>
        </w:rPr>
        <w:t>自主生活能力完全丧失，无法独立完成六项基本日常生活活动中的三项或三项以上。</w:t>
      </w:r>
    </w:p>
    <w:p w14:paraId="4FC3D5A8">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十二、深度昏迷</w:t>
      </w:r>
    </w:p>
    <w:p w14:paraId="4CD1133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指因疾病或意外伤害导致意识丧失，对外界刺激和体内需求均无反应，昏迷程度按照格拉斯哥昏迷分级（GCS，Glasgow Coma Scale）结果为5分或5分以下，且已经持续使用呼吸机及其他生命维持系统96小时以上。</w:t>
      </w:r>
    </w:p>
    <w:p w14:paraId="74CB3279">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因酗酒或药物滥用导致的深度昏迷不在保障范围内。</w:t>
      </w:r>
    </w:p>
    <w:p w14:paraId="3220103D">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十三、双耳失聪</w:t>
      </w:r>
    </w:p>
    <w:p w14:paraId="0875815C">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指因疾病或意外伤害导致双耳听力永久不可逆</w:t>
      </w:r>
      <w:r>
        <w:rPr>
          <w:rFonts w:hint="eastAsia" w:ascii="宋体" w:hAnsi="宋体" w:eastAsia="宋体" w:cs="宋体"/>
          <w:szCs w:val="21"/>
        </w:rPr>
        <w:footnoteReference w:id="8"/>
      </w:r>
      <w:r>
        <w:rPr>
          <w:rFonts w:hint="eastAsia" w:ascii="宋体" w:hAnsi="宋体" w:eastAsia="宋体" w:cs="宋体"/>
          <w:szCs w:val="21"/>
        </w:rPr>
        <w:t>性丧失，在500赫兹、1000赫兹和2000赫兹语音频率下，平均听阈大于等于91分贝，且经纯音听力测试、声导抗检测或听觉诱发电位检测等证实。</w:t>
      </w:r>
    </w:p>
    <w:p w14:paraId="3F6C0497">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十四、双目失明</w:t>
      </w:r>
    </w:p>
    <w:p w14:paraId="1523461E">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指因疾病或意外伤害导致双眼视力永久不可逆性丧失，双眼中较好眼须满足下列至少一项条件：</w:t>
      </w:r>
    </w:p>
    <w:p w14:paraId="6E017B5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（1）眼球缺失或摘除；</w:t>
      </w:r>
    </w:p>
    <w:p w14:paraId="66EB7D6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（2）矫正视力低于0.02（采用国际标准视力表，如果使用其他视力表应进行换算）；</w:t>
      </w:r>
    </w:p>
    <w:p w14:paraId="5D301B94">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（3）视野半径小于5度。</w:t>
      </w:r>
    </w:p>
    <w:p w14:paraId="69864C9D">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十五、瘫痪</w:t>
      </w:r>
    </w:p>
    <w:p w14:paraId="566C5BEA">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疾病或意外伤害导致两肢或两肢以上肢体随意运动功能永久完全丧失。肢体随意运动功能永久完全丧失，指疾病确诊180天后或意外伤害发生180天后，每肢三大关节中的两大关节仍然完全僵硬，或肢体肌力在2级（含）以下。</w:t>
      </w:r>
    </w:p>
    <w:p w14:paraId="7442DE2B">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十六、心脏瓣膜手术</w:t>
      </w:r>
    </w:p>
    <w:p w14:paraId="6631DF59">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指为治疗心脏瓣膜疾病，已经实施了切开心脏进行的心脏瓣膜置换或修复的手术。</w:t>
      </w:r>
    </w:p>
    <w:p w14:paraId="10E05C5F">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所有未切开心脏的心脏瓣膜介入手术不在保障范围内。</w:t>
      </w:r>
    </w:p>
    <w:p w14:paraId="7EBFB73A">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十七、严重阿尔茨海默病</w:t>
      </w:r>
    </w:p>
    <w:p w14:paraId="502D01F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大脑进行性、不可逆性改变导致智能严重衰退或丧失，临床表现为严重的认知功能障碍、精神行为异常和社交能力减退等，其日常生活必须持续受到他人监护。须由头颅断层扫描（CT）、核磁共振检查（MRI）或正电子发射断层扫描（PET）等影像学检查证实，并经相关专科医生确诊，且须满足下列至少一项条件：</w:t>
      </w:r>
    </w:p>
    <w:p w14:paraId="4145925C">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（1）由具有评估资格的专科医生根据临床痴呆评定量表（CDR，Clinical Dementia Rating）评估结果为3分；</w:t>
      </w:r>
    </w:p>
    <w:p w14:paraId="3F545F6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（2）自主生活能力完全丧失，无法独立完成六项基本日常生活活动中的三项或三项以上。</w:t>
      </w:r>
    </w:p>
    <w:p w14:paraId="4D05D182">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阿尔茨海默病之外的其他类型痴呆不在保障范围内。</w:t>
      </w:r>
    </w:p>
    <w:p w14:paraId="20009971">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十八、严重脑损伤</w:t>
      </w:r>
    </w:p>
    <w:p w14:paraId="44332B9B">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头部遭受机械性外力，引起脑重要部位损伤，导致神经系统永久性的功能障碍。须由头颅断层扫描（CT）、核磁共振检查（MRI）或正电子发射断层扫描（PET）等影像学检查证实。神经系统永久性的功能障碍，指脑损伤180天后，仍遗留下列至少一种障碍：</w:t>
      </w:r>
    </w:p>
    <w:p w14:paraId="3AB719D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（1）一肢（含）以上肢体肌力2级（含）以下；</w:t>
      </w:r>
    </w:p>
    <w:p w14:paraId="3262C4AA">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（2）语言能力完全丧失，或严重咀嚼吞咽功能障碍；</w:t>
      </w:r>
    </w:p>
    <w:p w14:paraId="08CD9080">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（3）自主生活能力完全丧失，无法独立完成六项基本日常生活活动中的三项或三项以上。</w:t>
      </w:r>
    </w:p>
    <w:p w14:paraId="6AEEFAC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十九、严重原发性帕金森病</w:t>
      </w:r>
    </w:p>
    <w:p w14:paraId="07291C6C">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是一种中枢神经系统的退行性疾病，临床表现为运动迟缓、静止性震颤或肌强直等，经相关专科医生确诊，且须满足自主生活能力完全丧失，无法独立完成六项基本日常生活活动中的三项或三项以上。</w:t>
      </w:r>
    </w:p>
    <w:p w14:paraId="7183C927">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继发性帕金森综合征、帕金森叠加综合征不在保障范围内。</w:t>
      </w:r>
    </w:p>
    <w:p w14:paraId="68D8C62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二十、严重Ⅲ度烧伤</w:t>
      </w:r>
    </w:p>
    <w:p w14:paraId="075532C2">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指烧伤程度为Ⅲ度，且Ⅲ度烧伤的面积达到全身体表面积的20％或20％以上。体表面积根据《中国新九分法》计算。</w:t>
      </w:r>
    </w:p>
    <w:p w14:paraId="6205FF4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二十一、严重特发性肺动脉高压</w:t>
      </w:r>
    </w:p>
    <w:p w14:paraId="777BDE14">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指不明原因的肺动脉压力持续性增高，进行性发展而导致的慢性疾病，已经造成永久不可逆性的体力活动能力受限，达到美国纽约心脏病学会（New York Heart Association，NYHA）心功能状态分级</w:t>
      </w:r>
      <w:r>
        <w:rPr>
          <w:rFonts w:hint="eastAsia" w:ascii="宋体" w:hAnsi="宋体" w:eastAsia="宋体" w:cs="宋体"/>
          <w:szCs w:val="21"/>
        </w:rPr>
        <w:footnoteReference w:id="9"/>
      </w:r>
      <w:r>
        <w:rPr>
          <w:rFonts w:hint="eastAsia" w:ascii="宋体" w:hAnsi="宋体" w:eastAsia="宋体" w:cs="宋体"/>
          <w:szCs w:val="21"/>
        </w:rPr>
        <w:t>IV级，且静息状态下肺动脉平均压在36mmHg（含）以上。</w:t>
      </w:r>
    </w:p>
    <w:p w14:paraId="0A750050">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二十二、严重运动神经元病</w:t>
      </w:r>
    </w:p>
    <w:p w14:paraId="08373F6E">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是一组中枢神经系统运动神经元的进行性变性疾病，包括进行性脊肌萎缩症、进行性延髓麻痹症、原发性侧索硬化症、肌萎缩性侧索硬化症,经相关专科医生确诊，且须满足下列至少一项条件：</w:t>
      </w:r>
    </w:p>
    <w:p w14:paraId="698D591E">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（1）严重咀嚼吞咽功能障碍；</w:t>
      </w:r>
    </w:p>
    <w:p w14:paraId="680362D0">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（2）呼吸肌麻痹导致严重呼吸困难，且已经持续使用呼吸机7天（含）以上；</w:t>
      </w:r>
    </w:p>
    <w:p w14:paraId="48D13714">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（3）自主生活能力完全丧失，无法独立完成六项基本日常生活活动中的三项或三项以上。</w:t>
      </w:r>
    </w:p>
    <w:p w14:paraId="5E9083CB">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二十三、语言能力丧失</w:t>
      </w:r>
    </w:p>
    <w:p w14:paraId="7DC6A0D6">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指因疾病或意外伤害导致语言能力完全丧失，经过积极治疗至少12个月（声带完全切除不受此时间限制），仍无法通过现有医疗手段恢复。</w:t>
      </w:r>
    </w:p>
    <w:p w14:paraId="01103668">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精神心理因素所致的语言能力丧失不在保障范围内。</w:t>
      </w:r>
    </w:p>
    <w:p w14:paraId="75477B0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二十四、重型再生障碍性贫血</w:t>
      </w:r>
    </w:p>
    <w:p w14:paraId="34BB1AA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指因骨髓造血功能慢性持续性衰竭导致的贫血、中性粒细胞减少及血小板减少，且须满足下列全部条件：</w:t>
      </w:r>
    </w:p>
    <w:p w14:paraId="083C95C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（1）骨髓穿刺检查或骨髓活检结果支持诊断：骨髓细胞增生程度&lt;正常的25%；如≥正常的25%但&lt;50%，则残存的造血细胞应&lt;30%；</w:t>
      </w:r>
    </w:p>
    <w:p w14:paraId="5E6BE1D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（2）外周血象须具备以下三项条件中的两项：</w:t>
      </w:r>
    </w:p>
    <w:p w14:paraId="57693D3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①中性粒细胞绝对值&lt;0.5×109/L；</w:t>
      </w:r>
    </w:p>
    <w:p w14:paraId="75123423">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②网织红细胞计数&lt;20×109/L；</w:t>
      </w:r>
    </w:p>
    <w:p w14:paraId="54729DED">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③血小板绝对值&lt;20×109/L。</w:t>
      </w:r>
    </w:p>
    <w:p w14:paraId="40B024B3">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二十五、主动脉手术</w:t>
      </w:r>
    </w:p>
    <w:p w14:paraId="2F7BBD2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为治疗主动脉疾病或主动脉创伤，已经实施了开胸（含胸腔镜下）或开腹（含腹腔镜下）进行的切除、置换、修补病损主动脉血管、主动脉创伤后修复的手术。主动脉指升主动脉、主动脉弓和降主动脉（含胸主动脉和腹主动脉），不包括升主动脉、主动脉弓和降主动脉的分支血管。</w:t>
      </w:r>
    </w:p>
    <w:p w14:paraId="49723E4C">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所有未实施开胸或开腹的动脉内介入治疗不在保障范围内。</w:t>
      </w:r>
    </w:p>
    <w:p w14:paraId="717B733E">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二十六、严重慢性呼吸衰竭</w:t>
      </w:r>
    </w:p>
    <w:p w14:paraId="07F1F0D9">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指因慢性呼吸系统疾病导致永久不可逆性的呼吸衰竭，经过积极治疗180天后满足以下所有条件：</w:t>
      </w:r>
    </w:p>
    <w:p w14:paraId="18E3B806">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（1）静息时出现呼吸困难；</w:t>
      </w:r>
    </w:p>
    <w:p w14:paraId="601B984C">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（2）肺功能第一秒用力呼气容积（FEV1）占预计值的百分比＜30%；</w:t>
      </w:r>
    </w:p>
    <w:p w14:paraId="05789240">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（3）在静息状态、呼吸空气条件下，动脉血氧分压（PaO2）＜50mmHg。</w:t>
      </w:r>
    </w:p>
    <w:p w14:paraId="3687EB4F">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二十七、严重克罗恩病</w:t>
      </w:r>
    </w:p>
    <w:p w14:paraId="49F50776">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 xml:space="preserve">指一种慢性肉芽肿性肠炎，具有特征性的克罗恩病（Crohn病）病理组织学变化，须根据组织病理学特点诊断，且已经造成瘘管形成并伴有肠梗阻或肠穿孔。 </w:t>
      </w:r>
    </w:p>
    <w:p w14:paraId="6275C056">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二十八、严重溃疡性结肠炎</w:t>
      </w:r>
    </w:p>
    <w:p w14:paraId="58B3612E">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指伴有致命性电解质紊乱的急性暴发性溃疡性结肠炎，病变已经累及全结肠，表现为严重的血便和系统性症状体征，须根据组织病理学特点诊断，且已经实施了结肠切除或回肠造瘘术。</w:t>
      </w:r>
    </w:p>
    <w:p w14:paraId="50A8BABA">
      <w:pPr>
        <w:adjustRightInd w:val="0"/>
        <w:snapToGrid w:val="0"/>
        <w:spacing w:after="157" w:afterLines="50" w:line="240" w:lineRule="auto"/>
        <w:ind w:firstLine="422" w:firstLineChars="200"/>
        <w:rPr>
          <w:rFonts w:hint="eastAsia" w:ascii="宋体" w:hAnsi="宋体" w:eastAsia="宋体" w:cs="宋体"/>
          <w:szCs w:val="21"/>
          <w:lang w:val="zh-CN"/>
        </w:rPr>
      </w:pPr>
      <w:r>
        <w:rPr>
          <w:rFonts w:hint="eastAsia" w:ascii="宋体" w:hAnsi="宋体" w:eastAsia="宋体" w:cs="宋体"/>
          <w:b/>
          <w:bCs/>
          <w:szCs w:val="21"/>
          <w:lang w:val="zh-CN"/>
        </w:rPr>
        <w:t>二十九、严重川崎病</w:t>
      </w:r>
    </w:p>
    <w:p w14:paraId="1E5811DB">
      <w:pPr>
        <w:adjustRightInd w:val="0"/>
        <w:snapToGrid w:val="0"/>
        <w:spacing w:after="157" w:afterLines="50" w:line="24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指一种血管炎综合征，临床表现为急性发热，皮肤粘膜病损和淋巴结肿大。本病须经专科医生明确诊断，同时须由血管造影或超声心动图检查证实，满足下列至少一项条件：</w:t>
      </w:r>
    </w:p>
    <w:p w14:paraId="717B1CE8">
      <w:pPr>
        <w:adjustRightInd w:val="0"/>
        <w:snapToGrid w:val="0"/>
        <w:spacing w:after="157" w:afterLines="50" w:line="24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（1）伴有冠状动脉瘤，且冠状动脉瘤于最初急性发病后持续至少180天；</w:t>
      </w:r>
    </w:p>
    <w:p w14:paraId="460E3A50">
      <w:pPr>
        <w:adjustRightInd w:val="0"/>
        <w:snapToGrid w:val="0"/>
        <w:spacing w:after="157" w:afterLines="50" w:line="24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（2）伴有冠状动脉瘤，且实际接受了对冠状动脉瘤进行的手术治疗。</w:t>
      </w:r>
    </w:p>
    <w:p w14:paraId="62F697C3">
      <w:pPr>
        <w:spacing w:after="157" w:afterLines="50" w:line="240" w:lineRule="auto"/>
        <w:jc w:val="center"/>
        <w:rPr>
          <w:rFonts w:hint="eastAsia" w:ascii="宋体" w:hAnsi="宋体" w:eastAsia="宋体" w:cs="宋体"/>
          <w:b/>
          <w:szCs w:val="21"/>
        </w:rPr>
      </w:pPr>
      <w:r>
        <w:rPr>
          <w:rFonts w:hint="eastAsia" w:ascii="宋体" w:hAnsi="宋体" w:eastAsia="宋体" w:cs="宋体"/>
          <w:b/>
          <w:szCs w:val="21"/>
        </w:rPr>
        <w:t>第七部分 释义</w:t>
      </w:r>
    </w:p>
    <w:p w14:paraId="15D798A7">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szCs w:val="21"/>
        </w:rPr>
        <w:t xml:space="preserve">第十三条 </w:t>
      </w:r>
      <w:r>
        <w:rPr>
          <w:rFonts w:hint="eastAsia" w:ascii="宋体" w:hAnsi="宋体" w:eastAsia="宋体" w:cs="宋体"/>
          <w:b w:val="0"/>
          <w:bCs/>
          <w:szCs w:val="21"/>
        </w:rPr>
        <w:t xml:space="preserve"> 除另有约定外，</w:t>
      </w:r>
      <w:r>
        <w:rPr>
          <w:rFonts w:hint="eastAsia" w:ascii="宋体" w:hAnsi="宋体" w:eastAsia="宋体" w:cs="宋体"/>
          <w:szCs w:val="21"/>
        </w:rPr>
        <w:t>本附加险合同中的下列词语具有如下含义：</w:t>
      </w:r>
    </w:p>
    <w:p w14:paraId="49062C4B">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一、医院：</w:t>
      </w:r>
      <w:r>
        <w:rPr>
          <w:rFonts w:hint="eastAsia" w:ascii="宋体" w:hAnsi="宋体" w:eastAsia="宋体" w:cs="宋体"/>
          <w:szCs w:val="21"/>
        </w:rPr>
        <w:t>指中华人民共和国境内（不包括香港特别行政区、澳门特别行政区以及台湾地区）合法经营的二级以上（含二级）医院或保险人认可的医疗机构；</w:t>
      </w:r>
    </w:p>
    <w:p w14:paraId="1D780F76">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保险人认可的医疗机构是指保险人在保险单、批单或者批注中列明的医疗机构。</w:t>
      </w:r>
    </w:p>
    <w:p w14:paraId="4363861D">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初次确诊：</w:t>
      </w:r>
      <w:r>
        <w:rPr>
          <w:rFonts w:hint="eastAsia" w:ascii="宋体" w:hAnsi="宋体" w:eastAsia="宋体" w:cs="宋体"/>
          <w:szCs w:val="21"/>
        </w:rPr>
        <w:t>指被保险人自出生之日起第一次经医院确诊患有某种疾病，而不是指本附加险合同生效之后第一次经医院确诊患有某种疾病。例如，2010年1月1日本附加险合同经</w:t>
      </w:r>
      <w:r>
        <w:rPr>
          <w:rFonts w:hint="eastAsia" w:ascii="宋体" w:hAnsi="宋体" w:eastAsia="宋体" w:cs="宋体"/>
          <w:b/>
          <w:bCs/>
          <w:szCs w:val="21"/>
        </w:rPr>
        <w:t>首次投保（见释义）</w:t>
      </w:r>
      <w:r>
        <w:rPr>
          <w:rFonts w:hint="eastAsia" w:ascii="宋体" w:hAnsi="宋体" w:eastAsia="宋体" w:cs="宋体"/>
          <w:szCs w:val="21"/>
        </w:rPr>
        <w:t>学生平安保险后生效，若：</w:t>
      </w:r>
    </w:p>
    <w:p w14:paraId="0ED8C7F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（一）2009年1月1日被保险人自出生后第一次经医院确诊罹患“恶性肿瘤”，因 “初次确诊”发生在本附加险合同生效之前，故此情况不属于保险责任范围，保险人不承担保险责任；</w:t>
      </w:r>
    </w:p>
    <w:p w14:paraId="4507FF1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（二）2010年1月15日被保险人自出生后第一次经医院确诊罹患“恶性肿瘤”，因 “初次确诊”发生在本附加险合同生效之日起30日内，故保险人按照本附加险合同对应所交保险费给付重大疾病保险金，本附加险合同终止；</w:t>
      </w:r>
    </w:p>
    <w:p w14:paraId="0775C7DD">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三）2010年2月1日被保险人自出生后第一次经医院确诊罹患“恶性肿瘤”，因“初次确诊”发生在本附加险合同生效之日起30日后，且不涉及其它责任免除事项，保险人需按本附加合同承担重大疾病保险金给付责任，本附加险合同终止。</w:t>
      </w:r>
    </w:p>
    <w:p w14:paraId="041B9D2E">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三、首次投保：</w:t>
      </w:r>
      <w:r>
        <w:rPr>
          <w:rFonts w:hint="eastAsia" w:ascii="宋体" w:hAnsi="宋体" w:eastAsia="宋体" w:cs="宋体"/>
          <w:szCs w:val="21"/>
        </w:rPr>
        <w:t>被保险人首次成为学生平安保险的被保险人，或者在学生平安保险合同终止之日起30日后（不含第30日）投保人才提出继续投保申请的，视为首次投保。</w:t>
      </w:r>
    </w:p>
    <w:p w14:paraId="7919B5D6">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四、续保：</w:t>
      </w:r>
      <w:r>
        <w:rPr>
          <w:rFonts w:hint="eastAsia" w:ascii="宋体" w:hAnsi="宋体" w:eastAsia="宋体" w:cs="宋体"/>
          <w:szCs w:val="21"/>
        </w:rPr>
        <w:t>本附加合同所指续保，为不保证续保。投保人可于保险期间届满前向本公司提出续保申请，本公司有权对投保人的续保申请进行审核。经本公司审核同意后，投保人向本公司交付续保保险费，获得新的保险合同。</w:t>
      </w:r>
    </w:p>
    <w:p w14:paraId="377F9F4D">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五、保险金申请人：</w:t>
      </w:r>
      <w:r>
        <w:rPr>
          <w:rFonts w:hint="eastAsia" w:ascii="宋体" w:hAnsi="宋体" w:eastAsia="宋体" w:cs="宋体"/>
          <w:szCs w:val="21"/>
        </w:rPr>
        <w:t>指被保险人、受益人或依法享有保险金请求权的其他人。</w:t>
      </w:r>
    </w:p>
    <w:p w14:paraId="1610E8D5">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六、未满期净保费：</w:t>
      </w:r>
      <w:r>
        <w:rPr>
          <w:rFonts w:hint="eastAsia" w:ascii="宋体" w:hAnsi="宋体" w:eastAsia="宋体" w:cs="宋体"/>
          <w:szCs w:val="21"/>
        </w:rPr>
        <w:t>未满期净保费=净保费×（1-m/n），其中，m为已生效天数，n为保险期间的天数，经过日期不足一日的按一日计算。除保单另有约定外，净保费=保险费×（1-35%）。</w:t>
      </w:r>
    </w:p>
    <w:p w14:paraId="36196528">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七、酒后驾驶：</w:t>
      </w:r>
      <w:r>
        <w:rPr>
          <w:rFonts w:hint="eastAsia" w:ascii="宋体" w:hAnsi="宋体" w:eastAsia="宋体" w:cs="宋体"/>
          <w:szCs w:val="21"/>
        </w:rPr>
        <w:t>指经检测或者鉴定，发生事故时车辆驾驶人员每100毫升血液中的酒精含量达到或者超过一定的标准，公安机关交通管理部门依据《道路交通安全法》的规定，认定为饮酒后驾驶或者醉酒后驾驶的驾驶行为。</w:t>
      </w:r>
    </w:p>
    <w:p w14:paraId="0AE7E778">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八、无合法有效驾驶证：指被保险人存在下列情形之一：</w:t>
      </w:r>
    </w:p>
    <w:p w14:paraId="4FEF2C3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（一）没有取得驾驶资格；</w:t>
      </w:r>
    </w:p>
    <w:p w14:paraId="1BCD24B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（二）驾驶与驾驶证准架车型不相符合的车辆；</w:t>
      </w:r>
    </w:p>
    <w:p w14:paraId="79794782">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（三）持未经审验、审验不合格或已过有效期的驾驶证驾驶；</w:t>
      </w:r>
    </w:p>
    <w:p w14:paraId="07D65580">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（四）持学习驾驶证学习驾车时，无教练员随车指导，或不按指定时间、路线学习驾车；</w:t>
      </w:r>
    </w:p>
    <w:p w14:paraId="68CE9AC2">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（五）公安交通部门认定的其他无有效驾驶证驾驶的情况。</w:t>
      </w:r>
    </w:p>
    <w:p w14:paraId="38262BD1">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九、无合法有效行驶证：指被保险人存在下列情形之一：</w:t>
      </w:r>
    </w:p>
    <w:p w14:paraId="3ADE10E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（一）机动车被依法注销登记的；</w:t>
      </w:r>
    </w:p>
    <w:p w14:paraId="61617BD6">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（二）无公安机关交通管理部门核发的行驶证、号牌，或临时号牌或临时移动证的机动交通工具；</w:t>
      </w:r>
    </w:p>
    <w:p w14:paraId="3105ED0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（三）未在规定检验期限内进行机动车安全技术检验或检验未通过的机动交通工具。未依法按时进行或通过机动车安全技术检验。</w:t>
      </w:r>
    </w:p>
    <w:p w14:paraId="10D16C10">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十、六项基本日常生活活动是指：</w:t>
      </w:r>
    </w:p>
    <w:p w14:paraId="606DB04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（一）穿衣：自己能够穿衣及脱衣；</w:t>
      </w:r>
    </w:p>
    <w:p w14:paraId="6C15ED4F">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（二）移动：自己从一个房间到另一个房间；</w:t>
      </w:r>
    </w:p>
    <w:p w14:paraId="37E612D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（三）行动：自己上下床或上下轮椅；</w:t>
      </w:r>
    </w:p>
    <w:p w14:paraId="526F66A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（四）如厕：自己控制进行大小便；</w:t>
      </w:r>
    </w:p>
    <w:p w14:paraId="4AF93176">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（五）进食：自己从已准备好的碗或碟中取食物放入口中；</w:t>
      </w:r>
    </w:p>
    <w:p w14:paraId="46BBE07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 xml:space="preserve">（六）洗澡：自己进行淋浴或盆浴。 </w:t>
      </w:r>
    </w:p>
    <w:p w14:paraId="64F8EFD9">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十一、肢体机能完全丧失：</w:t>
      </w:r>
      <w:r>
        <w:rPr>
          <w:rFonts w:hint="eastAsia" w:ascii="宋体" w:hAnsi="宋体" w:eastAsia="宋体" w:cs="宋体"/>
          <w:szCs w:val="21"/>
        </w:rPr>
        <w:t>指肢体的三大关节中的两大关节僵硬，或不能随意识活动。肢体是指包括肩关节的整个上肢或包括髋关节的整个下肢。</w:t>
      </w:r>
    </w:p>
    <w:p w14:paraId="4480B040">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十二、语言能力或咀嚼吞咽能力完全丧失：语言能力完全丧失，</w:t>
      </w:r>
      <w:r>
        <w:rPr>
          <w:rFonts w:hint="eastAsia" w:ascii="宋体" w:hAnsi="宋体" w:eastAsia="宋体" w:cs="宋体"/>
          <w:szCs w:val="21"/>
        </w:rPr>
        <w:t xml:space="preserve">指无法发出四种语音（包括口唇音、齿舌音、口盖音和喉头音）中的任何三种、或声带全部切除，或因大脑语言中枢受伤害而患失语症。 </w:t>
      </w:r>
      <w:r>
        <w:rPr>
          <w:rFonts w:hint="eastAsia" w:ascii="宋体" w:hAnsi="宋体" w:eastAsia="宋体" w:cs="宋体"/>
          <w:b/>
          <w:bCs/>
          <w:szCs w:val="21"/>
        </w:rPr>
        <w:t>咀嚼吞咽能力完全丧失</w:t>
      </w:r>
      <w:r>
        <w:rPr>
          <w:rFonts w:hint="eastAsia" w:ascii="宋体" w:hAnsi="宋体" w:eastAsia="宋体" w:cs="宋体"/>
          <w:szCs w:val="21"/>
        </w:rPr>
        <w:t xml:space="preserve">，指因牙齿以外的原因导致器质障碍或机能障碍，以致不能作咀嚼吞咽运动，除流质食物外不能摄取或吞咽的状态。 </w:t>
      </w:r>
    </w:p>
    <w:p w14:paraId="186F4D45">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十三、永久不可逆：</w:t>
      </w:r>
      <w:r>
        <w:rPr>
          <w:rFonts w:hint="eastAsia" w:ascii="宋体" w:hAnsi="宋体" w:eastAsia="宋体" w:cs="宋体"/>
          <w:szCs w:val="21"/>
        </w:rPr>
        <w:t>指自疾病确诊或意外伤害发生之日起，经过积极治疗180天后，仍无法通过现有医疗手段恢复。</w:t>
      </w:r>
    </w:p>
    <w:p w14:paraId="18D1369E">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十四、专科医生：</w:t>
      </w:r>
      <w:r>
        <w:rPr>
          <w:rFonts w:hint="eastAsia" w:ascii="宋体" w:hAnsi="宋体" w:eastAsia="宋体" w:cs="宋体"/>
          <w:szCs w:val="21"/>
        </w:rPr>
        <w:t>专科医生应当同时满足以下四项资格条件：</w:t>
      </w:r>
    </w:p>
    <w:p w14:paraId="312A1A0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（一）具有有效的中华人民共和国《医师资格证书》；</w:t>
      </w:r>
    </w:p>
    <w:p w14:paraId="35AF0269">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（二）具有有效的中华人民共和国《医师执业证书》，并按期到相关部门登记注册；</w:t>
      </w:r>
    </w:p>
    <w:p w14:paraId="1CBF5E8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（三）具有有效的中华人民共和国主治医师或主治医师以上职称的《医师职称证书》；</w:t>
      </w:r>
    </w:p>
    <w:p w14:paraId="5EDB9140">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 xml:space="preserve">（四）在国家《医院分级管理标准》二级或二级以上医院的相应科室从事临床工作三年以上。 </w:t>
      </w:r>
    </w:p>
    <w:p w14:paraId="50409147">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十五、感染艾滋病病毒或患艾滋病：</w:t>
      </w:r>
      <w:r>
        <w:rPr>
          <w:rFonts w:hint="eastAsia" w:ascii="宋体" w:hAnsi="宋体" w:eastAsia="宋体" w:cs="宋体"/>
          <w:szCs w:val="21"/>
        </w:rPr>
        <w:t>艾滋病病毒指人类免疫缺陷病毒，英文缩写为HIV。艾滋病指人类免疫缺陷病毒引起的获得性免疫缺陷综合征，英文缩写为AIDS。在人体血液或其它样本中检测到艾滋病病毒或其抗体呈阳性，没有出现临床症状或体征的，为感染艾滋病病毒；如果同时出现了明显临床症状或体征的，为患艾滋病。</w:t>
      </w:r>
    </w:p>
    <w:p w14:paraId="69B4C982">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十六、遗传性疾病：</w:t>
      </w:r>
      <w:r>
        <w:rPr>
          <w:rFonts w:hint="eastAsia" w:ascii="宋体" w:hAnsi="宋体" w:eastAsia="宋体" w:cs="宋体"/>
          <w:szCs w:val="21"/>
        </w:rPr>
        <w:t>指生殖细胞或受精卵的遗传物质（染色体和基因）发生突变或畸变所引起的疾病，通常具有由亲代传至后代的垂直传递的特征。</w:t>
      </w:r>
    </w:p>
    <w:p w14:paraId="64BF619D">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十七、先天性畸形、变形或染色体异常：</w:t>
      </w:r>
      <w:r>
        <w:rPr>
          <w:rFonts w:hint="eastAsia" w:ascii="宋体" w:hAnsi="宋体" w:eastAsia="宋体" w:cs="宋体"/>
          <w:szCs w:val="21"/>
        </w:rPr>
        <w:t>指被保险人出生时就具有的畸形、变形或染色体异常。先天性畸形、变形和染色体异常依照世界卫生组织《疾病和有关健康问题的国际统计分类》第十次修订版（ICD-10）确定。</w:t>
      </w:r>
    </w:p>
    <w:p w14:paraId="54FDCD4A">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十八、既往症：</w:t>
      </w:r>
      <w:r>
        <w:rPr>
          <w:rFonts w:hint="eastAsia" w:ascii="宋体" w:hAnsi="宋体" w:eastAsia="宋体" w:cs="宋体"/>
          <w:szCs w:val="21"/>
        </w:rPr>
        <w:t>指在本合同生效日之前被保险人已患且已知晓的疾病。</w:t>
      </w:r>
    </w:p>
    <w:p w14:paraId="62C78E4D">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十九、已患未治愈疾病：</w:t>
      </w:r>
      <w:r>
        <w:rPr>
          <w:rFonts w:hint="eastAsia" w:ascii="宋体" w:hAnsi="宋体" w:eastAsia="宋体" w:cs="宋体"/>
          <w:szCs w:val="21"/>
        </w:rPr>
        <w:t>首次投保前</w:t>
      </w:r>
      <w:r>
        <w:rPr>
          <w:rFonts w:hint="eastAsia" w:ascii="宋体" w:hAnsi="宋体" w:eastAsia="宋体" w:cs="宋体"/>
          <w:szCs w:val="21"/>
          <w:lang w:eastAsia="zh-CN"/>
        </w:rPr>
        <w:t>或等待期内</w:t>
      </w:r>
      <w:r>
        <w:rPr>
          <w:rFonts w:hint="eastAsia" w:ascii="宋体" w:hAnsi="宋体" w:eastAsia="宋体" w:cs="宋体"/>
          <w:szCs w:val="21"/>
        </w:rPr>
        <w:t>（详见释义）已确诊或对该疾病采取过治疗措施但未能消除该疾病的，属已患未治愈疾病。被保险人首次投保前如只有相关症状但未确诊的，在首次投保后才确诊的疾病，则不属于已患未治愈疾病的范畴。</w:t>
      </w:r>
    </w:p>
    <w:p w14:paraId="64BB1699">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lang w:eastAsia="zh-CN"/>
        </w:rPr>
        <w:t>二十、</w:t>
      </w:r>
      <w:r>
        <w:rPr>
          <w:rFonts w:hint="eastAsia" w:ascii="宋体" w:hAnsi="宋体" w:eastAsia="宋体" w:cs="宋体"/>
          <w:b/>
          <w:bCs/>
          <w:szCs w:val="21"/>
        </w:rPr>
        <w:t>等待期</w:t>
      </w:r>
      <w:r>
        <w:rPr>
          <w:rFonts w:hint="eastAsia" w:ascii="宋体" w:hAnsi="宋体" w:eastAsia="宋体" w:cs="宋体"/>
          <w:b/>
          <w:bCs/>
          <w:szCs w:val="21"/>
          <w:lang w:eastAsia="zh-CN"/>
        </w:rPr>
        <w:t>：</w:t>
      </w:r>
      <w:r>
        <w:rPr>
          <w:rFonts w:hint="eastAsia" w:ascii="宋体" w:hAnsi="宋体" w:eastAsia="宋体" w:cs="宋体"/>
          <w:szCs w:val="21"/>
        </w:rPr>
        <w:t>是指自保单生效之日起计算的一段时间，经过该段时间后，保险人才对被保险人因疾病而发生的医疗费用承担保险责任。在此期间，尽管保险合同已经生效，被保险人已获得被保资格，但保险人并不承担给付保险金义务。</w:t>
      </w:r>
    </w:p>
    <w:p w14:paraId="60783946">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其他释义与主险合同释义一致。</w:t>
      </w:r>
    </w:p>
    <w:p w14:paraId="30948F8A">
      <w:pPr>
        <w:adjustRightInd w:val="0"/>
        <w:snapToGrid w:val="0"/>
        <w:spacing w:line="500" w:lineRule="exact"/>
        <w:ind w:firstLine="420" w:firstLineChars="200"/>
        <w:rPr>
          <w:rFonts w:hint="eastAsia" w:ascii="宋体" w:hAnsi="宋体" w:eastAsiaTheme="minorEastAsia" w:cstheme="minorBidi"/>
          <w:szCs w:val="21"/>
        </w:rPr>
      </w:pPr>
    </w:p>
    <w:sectPr>
      <w:footerReference r:id="rId4" w:type="default"/>
      <w:pgSz w:w="11906" w:h="16838"/>
      <w:pgMar w:top="1440" w:right="1474" w:bottom="1440"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17D48">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1BFC7B">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1BFC7B">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14</w:t>
                    </w:r>
                    <w:r>
                      <w:fldChar w:fldCharType="end"/>
                    </w:r>
                  </w:p>
                </w:txbxContent>
              </v:textbox>
            </v:shape>
          </w:pict>
        </mc:Fallback>
      </mc:AlternateContent>
    </w:r>
  </w:p>
  <w:p w14:paraId="6DE41FEE">
    <w:pPr>
      <w:pStyle w:val="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0">
    <w:p>
      <w:r>
        <w:separator/>
      </w:r>
    </w:p>
  </w:footnote>
  <w:footnote w:type="continuationSeparator" w:id="21">
    <w:p>
      <w:r>
        <w:continuationSeparator/>
      </w:r>
    </w:p>
  </w:footnote>
  <w:footnote w:id="0">
    <w:p w14:paraId="2A1B0C65">
      <w:pPr>
        <w:pStyle w:val="2"/>
        <w:snapToGrid w:val="0"/>
        <w:spacing w:before="0" w:after="0" w:line="240" w:lineRule="auto"/>
        <w:rPr>
          <w:b w:val="0"/>
          <w:color w:val="000000" w:themeColor="text1"/>
          <w:sz w:val="18"/>
          <w14:textFill>
            <w14:solidFill>
              <w14:schemeClr w14:val="tx1"/>
            </w14:solidFill>
          </w14:textFill>
        </w:rPr>
      </w:pPr>
      <w:r>
        <w:rPr>
          <w:rStyle w:val="10"/>
          <w:color w:val="000000" w:themeColor="text1"/>
          <w:sz w:val="18"/>
          <w14:textFill>
            <w14:solidFill>
              <w14:schemeClr w14:val="tx1"/>
            </w14:solidFill>
          </w14:textFill>
        </w:rPr>
        <w:footnoteRef/>
      </w:r>
      <w:r>
        <w:rPr>
          <w:rFonts w:hint="eastAsia"/>
          <w:color w:val="000000" w:themeColor="text1"/>
          <w:sz w:val="18"/>
          <w14:textFill>
            <w14:solidFill>
              <w14:schemeClr w14:val="tx1"/>
            </w14:solidFill>
          </w14:textFill>
        </w:rPr>
        <w:t xml:space="preserve"> 组织病理学检查：</w:t>
      </w:r>
      <w:r>
        <w:rPr>
          <w:rFonts w:hint="eastAsia"/>
          <w:b w:val="0"/>
          <w:color w:val="000000" w:themeColor="text1"/>
          <w:sz w:val="18"/>
          <w14:textFill>
            <w14:solidFill>
              <w14:schemeClr w14:val="tx1"/>
            </w14:solidFill>
          </w14:textFill>
        </w:rPr>
        <w:t>组织病理学检查是通过局部切除、钳取、穿刺等手术方法，从患者机体采取病变组织块，经过包埋、切片后，进行病理检查的方法。</w:t>
      </w:r>
      <w:r>
        <w:rPr>
          <w:rFonts w:hint="eastAsia"/>
          <w:color w:val="000000" w:themeColor="text1"/>
          <w:sz w:val="18"/>
          <w14:textFill>
            <w14:solidFill>
              <w14:schemeClr w14:val="tx1"/>
            </w14:solidFill>
          </w14:textFill>
        </w:rPr>
        <w:t>通过采集病变部位脱落细胞、细针吸取病变部位细胞、体腔积液分离病变细胞等方式获取病变细胞，制成涂片，进行病理检查的方法，属于细胞病理学检查，不属于组织病理学检查。</w:t>
      </w:r>
      <w:r>
        <w:rPr>
          <w:rFonts w:hint="eastAsia"/>
          <w:b w:val="0"/>
          <w:color w:val="000000" w:themeColor="text1"/>
          <w:sz w:val="18"/>
          <w14:textFill>
            <w14:solidFill>
              <w14:schemeClr w14:val="tx1"/>
            </w14:solidFill>
          </w14:textFill>
        </w:rPr>
        <w:t>如无特别说明，本合同下文提及处，意思相同。</w:t>
      </w:r>
    </w:p>
  </w:footnote>
  <w:footnote w:id="1">
    <w:p w14:paraId="2F65D9C6">
      <w:pPr>
        <w:keepNext w:val="0"/>
        <w:keepLines w:val="0"/>
        <w:widowControl/>
        <w:suppressLineNumbers w:val="0"/>
        <w:jc w:val="left"/>
        <w:rPr>
          <w:rFonts w:ascii="宋体" w:hAnsi="宋体"/>
          <w:b/>
          <w:color w:val="000000" w:themeColor="text1"/>
          <w:sz w:val="18"/>
          <w:szCs w:val="21"/>
          <w14:textFill>
            <w14:solidFill>
              <w14:schemeClr w14:val="tx1"/>
            </w14:solidFill>
          </w14:textFill>
        </w:rPr>
      </w:pPr>
      <w:r>
        <w:rPr>
          <w:rStyle w:val="10"/>
          <w:rFonts w:ascii="宋体" w:hAnsi="宋体"/>
          <w:b/>
          <w:color w:val="000000" w:themeColor="text1"/>
          <w:sz w:val="18"/>
          <w14:textFill>
            <w14:solidFill>
              <w14:schemeClr w14:val="tx1"/>
            </w14:solidFill>
          </w14:textFill>
        </w:rPr>
        <w:footnoteRef/>
      </w:r>
      <w:r>
        <w:rPr>
          <w:rFonts w:ascii="宋体" w:hAnsi="宋体"/>
          <w:b/>
          <w:color w:val="000000" w:themeColor="text1"/>
          <w:sz w:val="18"/>
          <w:szCs w:val="21"/>
          <w14:textFill>
            <w14:solidFill>
              <w14:schemeClr w14:val="tx1"/>
            </w14:solidFill>
          </w14:textFill>
        </w:rPr>
        <w:t xml:space="preserve"> </w:t>
      </w:r>
      <w:r>
        <w:rPr>
          <w:rFonts w:hint="eastAsia" w:ascii="宋体" w:hAnsi="宋体"/>
          <w:b/>
          <w:color w:val="000000" w:themeColor="text1"/>
          <w:sz w:val="18"/>
          <w:szCs w:val="21"/>
          <w14:textFill>
            <w14:solidFill>
              <w14:schemeClr w14:val="tx1"/>
            </w14:solidFill>
          </w14:textFill>
        </w:rPr>
        <w:t>ICD-10与ICD-O-3:</w:t>
      </w:r>
      <w:r>
        <w:rPr>
          <w:rFonts w:hint="eastAsia" w:ascii="宋体" w:hAnsi="宋体"/>
          <w:color w:val="000000" w:themeColor="text1"/>
          <w:sz w:val="18"/>
          <w:szCs w:val="21"/>
          <w14:textFill>
            <w14:solidFill>
              <w14:schemeClr w14:val="tx1"/>
            </w14:solidFill>
          </w14:textFill>
        </w:rPr>
        <w:t>《疾病和有关健康问题的国际统计分类》第十次修订版（ICD-10），是世界卫生组织（WHO）发布的国际通用的疾病分类方法。《国际疾病分类肿瘤学专辑》第三版（ICD-O-3），是WHO发布的针对ICD中肿瘤形态学组织学细胞类型、动态、分化程度的补充编码。其中形态学编码：0代表良性肿瘤；1代表动态未定性肿瘤；2代表原位癌和非侵袭性癌；3代表恶性肿瘤（原发性）；6代表恶性肿瘤（转移性）；9代表恶性肿瘤（原发性或转移性未肯定）。</w:t>
      </w:r>
      <w:r>
        <w:rPr>
          <w:rFonts w:hint="eastAsia" w:ascii="宋体" w:hAnsi="宋体"/>
          <w:b/>
          <w:color w:val="000000" w:themeColor="text1"/>
          <w:sz w:val="18"/>
          <w:szCs w:val="21"/>
          <w14:textFill>
            <w14:solidFill>
              <w14:schemeClr w14:val="tx1"/>
            </w14:solidFill>
          </w14:textFill>
        </w:rPr>
        <w:t>如果出现ICD-10与ICD-O-3不一致的情况，以ICD-O-3为准。</w:t>
      </w:r>
      <w:r>
        <w:rPr>
          <w:rFonts w:hint="eastAsia" w:ascii="宋体" w:hAnsi="宋体"/>
          <w:color w:val="000000" w:themeColor="text1"/>
          <w:sz w:val="18"/>
          <w:szCs w:val="21"/>
          <w14:textFill>
            <w14:solidFill>
              <w14:schemeClr w14:val="tx1"/>
            </w14:solidFill>
          </w14:textFill>
        </w:rPr>
        <w:t>如无特别说明，本合同下文提及处，意思相同。</w:t>
      </w:r>
    </w:p>
  </w:footnote>
  <w:footnote w:id="2">
    <w:p w14:paraId="79052238">
      <w:pPr>
        <w:pStyle w:val="14"/>
        <w:adjustRightInd/>
        <w:ind w:left="0" w:leftChars="0" w:firstLine="2" w:firstLineChars="0"/>
        <w:rPr>
          <w:rFonts w:ascii="宋体" w:hAnsi="宋体"/>
          <w:b/>
          <w:color w:val="000000" w:themeColor="text1"/>
          <w:sz w:val="18"/>
          <w:szCs w:val="21"/>
          <w14:textFill>
            <w14:solidFill>
              <w14:schemeClr w14:val="tx1"/>
            </w14:solidFill>
          </w14:textFill>
        </w:rPr>
      </w:pPr>
      <w:r>
        <w:rPr>
          <w:rStyle w:val="10"/>
          <w:rFonts w:ascii="宋体" w:hAnsi="宋体"/>
          <w:b/>
          <w:color w:val="000000" w:themeColor="text1"/>
          <w:sz w:val="18"/>
          <w:szCs w:val="21"/>
          <w14:textFill>
            <w14:solidFill>
              <w14:schemeClr w14:val="tx1"/>
            </w14:solidFill>
          </w14:textFill>
        </w:rPr>
        <w:footnoteRef/>
      </w:r>
      <w:r>
        <w:rPr>
          <w:rFonts w:hint="eastAsia" w:ascii="宋体" w:hAnsi="宋体"/>
          <w:b/>
          <w:color w:val="000000" w:themeColor="text1"/>
          <w:sz w:val="18"/>
          <w:szCs w:val="21"/>
          <w14:textFill>
            <w14:solidFill>
              <w14:schemeClr w14:val="tx1"/>
            </w14:solidFill>
          </w14:textFill>
        </w:rPr>
        <w:t xml:space="preserve"> TNM分期、甲状腺癌的TNM分期：TNM分期</w:t>
      </w:r>
      <w:r>
        <w:rPr>
          <w:rFonts w:hint="eastAsia" w:ascii="宋体" w:hAnsi="宋体"/>
          <w:color w:val="000000" w:themeColor="text1"/>
          <w:sz w:val="18"/>
          <w:szCs w:val="21"/>
          <w14:textFill>
            <w14:solidFill>
              <w14:schemeClr w14:val="tx1"/>
            </w14:solidFill>
          </w14:textFill>
        </w:rPr>
        <w:t>采用AJCC癌症分期手册标准。该标准由美国癌症联合委员会与国际抗癌联合会TNM委员会联合制定，是目前肿瘤医学分期的国际通用标准。T指原发肿瘤的大小、形态等；N指淋巴结的转移情况；M指有无其他脏器的转移情况。</w:t>
      </w:r>
      <w:r>
        <w:rPr>
          <w:rFonts w:hint="eastAsia" w:ascii="宋体" w:hAnsi="宋体"/>
          <w:b/>
          <w:color w:val="000000" w:themeColor="text1"/>
          <w:sz w:val="18"/>
          <w:szCs w:val="21"/>
          <w14:textFill>
            <w14:solidFill>
              <w14:schemeClr w14:val="tx1"/>
            </w14:solidFill>
          </w14:textFill>
        </w:rPr>
        <w:t>甲状腺癌的TNM分期</w:t>
      </w:r>
      <w:r>
        <w:rPr>
          <w:rFonts w:hint="eastAsia" w:ascii="宋体" w:hAnsi="宋体"/>
          <w:color w:val="000000" w:themeColor="text1"/>
          <w:sz w:val="18"/>
          <w:szCs w:val="21"/>
          <w14:textFill>
            <w14:solidFill>
              <w14:schemeClr w14:val="tx1"/>
            </w14:solidFill>
          </w14:textFill>
        </w:rPr>
        <w:t>采用目前现行的AJCC第八版定义标准，我国国家卫生健康委员会2018年发布的《甲状腺癌诊疗规范（2018年版）》也采用此定义标准，具体见</w:t>
      </w:r>
      <w:r>
        <w:rPr>
          <w:rFonts w:hint="eastAsia" w:ascii="宋体" w:hAnsi="宋体"/>
          <w:b/>
          <w:color w:val="000000" w:themeColor="text1"/>
          <w:sz w:val="18"/>
          <w:szCs w:val="21"/>
          <w14:textFill>
            <w14:solidFill>
              <w14:schemeClr w14:val="tx1"/>
            </w14:solidFill>
          </w14:textFill>
        </w:rPr>
        <w:t>附录</w:t>
      </w:r>
      <w:r>
        <w:rPr>
          <w:rFonts w:hint="eastAsia" w:ascii="宋体" w:hAnsi="宋体"/>
          <w:color w:val="000000" w:themeColor="text1"/>
          <w:sz w:val="18"/>
          <w:szCs w:val="21"/>
          <w14:textFill>
            <w14:solidFill>
              <w14:schemeClr w14:val="tx1"/>
            </w14:solidFill>
          </w14:textFill>
        </w:rPr>
        <w:t>。如无特别说明，本合同下文提及处，意思相同。</w:t>
      </w:r>
    </w:p>
  </w:footnote>
  <w:footnote w:id="3">
    <w:p w14:paraId="11B8D46D">
      <w:pPr>
        <w:pStyle w:val="14"/>
        <w:ind w:left="0" w:leftChars="0" w:firstLine="0" w:firstLineChars="0"/>
        <w:rPr>
          <w:rFonts w:ascii="宋体" w:hAnsi="宋体"/>
          <w:b/>
          <w:color w:val="000000" w:themeColor="text1"/>
          <w:sz w:val="18"/>
          <w:szCs w:val="21"/>
          <w14:textFill>
            <w14:solidFill>
              <w14:schemeClr w14:val="tx1"/>
            </w14:solidFill>
          </w14:textFill>
        </w:rPr>
      </w:pPr>
      <w:r>
        <w:rPr>
          <w:rStyle w:val="10"/>
          <w:rFonts w:ascii="宋体" w:hAnsi="宋体"/>
          <w:b/>
          <w:sz w:val="18"/>
          <w:szCs w:val="21"/>
        </w:rPr>
        <w:footnoteRef/>
      </w:r>
      <w:r>
        <w:rPr>
          <w:rFonts w:hint="eastAsia" w:ascii="宋体" w:hAnsi="宋体"/>
          <w:b/>
          <w:sz w:val="18"/>
          <w:szCs w:val="21"/>
        </w:rPr>
        <w:t xml:space="preserve"> 肢</w:t>
      </w:r>
      <w:r>
        <w:rPr>
          <w:rFonts w:hint="eastAsia" w:ascii="宋体" w:hAnsi="宋体"/>
          <w:b/>
          <w:color w:val="000000" w:themeColor="text1"/>
          <w:sz w:val="18"/>
          <w:szCs w:val="21"/>
          <w14:textFill>
            <w14:solidFill>
              <w14:schemeClr w14:val="tx1"/>
            </w14:solidFill>
          </w14:textFill>
        </w:rPr>
        <w:t>体：</w:t>
      </w:r>
      <w:r>
        <w:rPr>
          <w:rFonts w:hint="eastAsia" w:ascii="宋体" w:hAnsi="宋体"/>
          <w:color w:val="000000" w:themeColor="text1"/>
          <w:sz w:val="18"/>
          <w:szCs w:val="21"/>
          <w14:textFill>
            <w14:solidFill>
              <w14:schemeClr w14:val="tx1"/>
            </w14:solidFill>
          </w14:textFill>
        </w:rPr>
        <w:t>指包括肩关节的整个上肢或包括髋关节的整个下肢。如无特别说明，本合同下文提及处，意思相同。</w:t>
      </w:r>
    </w:p>
  </w:footnote>
  <w:footnote w:id="4">
    <w:p w14:paraId="05AA09BC">
      <w:pPr>
        <w:pStyle w:val="14"/>
        <w:ind w:left="0" w:leftChars="0" w:firstLine="0" w:firstLineChars="0"/>
        <w:rPr>
          <w:rFonts w:ascii="宋体" w:hAnsi="宋体"/>
          <w:color w:val="000000" w:themeColor="text1"/>
          <w:sz w:val="18"/>
          <w:szCs w:val="21"/>
          <w14:textFill>
            <w14:solidFill>
              <w14:schemeClr w14:val="tx1"/>
            </w14:solidFill>
          </w14:textFill>
        </w:rPr>
      </w:pPr>
      <w:r>
        <w:rPr>
          <w:rStyle w:val="10"/>
          <w:rFonts w:ascii="宋体" w:hAnsi="宋体"/>
          <w:b/>
          <w:color w:val="000000" w:themeColor="text1"/>
          <w:sz w:val="18"/>
          <w:szCs w:val="21"/>
          <w14:textFill>
            <w14:solidFill>
              <w14:schemeClr w14:val="tx1"/>
            </w14:solidFill>
          </w14:textFill>
        </w:rPr>
        <w:footnoteRef/>
      </w:r>
      <w:r>
        <w:rPr>
          <w:rFonts w:hint="eastAsia" w:ascii="宋体" w:hAnsi="宋体"/>
          <w:b/>
          <w:color w:val="000000" w:themeColor="text1"/>
          <w:sz w:val="18"/>
          <w:szCs w:val="21"/>
          <w14:textFill>
            <w14:solidFill>
              <w14:schemeClr w14:val="tx1"/>
            </w14:solidFill>
          </w14:textFill>
        </w:rPr>
        <w:t xml:space="preserve"> 肌力：</w:t>
      </w:r>
      <w:r>
        <w:rPr>
          <w:rFonts w:hint="eastAsia" w:ascii="宋体" w:hAnsi="宋体"/>
          <w:color w:val="000000" w:themeColor="text1"/>
          <w:sz w:val="18"/>
          <w:szCs w:val="21"/>
          <w14:textFill>
            <w14:solidFill>
              <w14:schemeClr w14:val="tx1"/>
            </w14:solidFill>
          </w14:textFill>
        </w:rPr>
        <w:t>指肌肉收缩时的力量。肌力划分为0-5级，具体为：</w:t>
      </w:r>
    </w:p>
    <w:p w14:paraId="5387CA17">
      <w:pPr>
        <w:pStyle w:val="14"/>
        <w:spacing w:line="204" w:lineRule="auto"/>
        <w:ind w:left="0" w:leftChars="0" w:firstLine="0" w:firstLineChars="0"/>
        <w:rPr>
          <w:rFonts w:ascii="宋体" w:hAnsi="宋体"/>
          <w:color w:val="000000" w:themeColor="text1"/>
          <w:sz w:val="18"/>
          <w:szCs w:val="21"/>
          <w14:textFill>
            <w14:solidFill>
              <w14:schemeClr w14:val="tx1"/>
            </w14:solidFill>
          </w14:textFill>
        </w:rPr>
      </w:pPr>
      <w:r>
        <w:rPr>
          <w:rFonts w:hint="eastAsia" w:ascii="宋体" w:hAnsi="宋体"/>
          <w:color w:val="000000" w:themeColor="text1"/>
          <w:sz w:val="18"/>
          <w:szCs w:val="21"/>
          <w14:textFill>
            <w14:solidFill>
              <w14:schemeClr w14:val="tx1"/>
            </w14:solidFill>
          </w14:textFill>
        </w:rPr>
        <w:t>0级：肌肉完全瘫痪，毫无收缩。</w:t>
      </w:r>
    </w:p>
    <w:p w14:paraId="5288D29A">
      <w:pPr>
        <w:pStyle w:val="14"/>
        <w:spacing w:line="204" w:lineRule="auto"/>
        <w:ind w:left="0" w:leftChars="0" w:firstLine="0" w:firstLineChars="0"/>
        <w:rPr>
          <w:rFonts w:ascii="宋体" w:hAnsi="宋体"/>
          <w:color w:val="000000" w:themeColor="text1"/>
          <w:sz w:val="18"/>
          <w:szCs w:val="21"/>
          <w14:textFill>
            <w14:solidFill>
              <w14:schemeClr w14:val="tx1"/>
            </w14:solidFill>
          </w14:textFill>
        </w:rPr>
      </w:pPr>
      <w:r>
        <w:rPr>
          <w:rFonts w:hint="eastAsia" w:ascii="宋体" w:hAnsi="宋体"/>
          <w:color w:val="000000" w:themeColor="text1"/>
          <w:sz w:val="18"/>
          <w:szCs w:val="21"/>
          <w14:textFill>
            <w14:solidFill>
              <w14:schemeClr w14:val="tx1"/>
            </w14:solidFill>
          </w14:textFill>
        </w:rPr>
        <w:t>1级：可看到或者触及肌肉轻微收缩，但不能产生动作。</w:t>
      </w:r>
    </w:p>
    <w:p w14:paraId="7F481112">
      <w:pPr>
        <w:pStyle w:val="14"/>
        <w:spacing w:line="204" w:lineRule="auto"/>
        <w:ind w:left="0" w:leftChars="0" w:firstLine="0" w:firstLineChars="0"/>
        <w:rPr>
          <w:rFonts w:ascii="宋体" w:hAnsi="宋体"/>
          <w:color w:val="000000" w:themeColor="text1"/>
          <w:sz w:val="18"/>
          <w:szCs w:val="21"/>
          <w14:textFill>
            <w14:solidFill>
              <w14:schemeClr w14:val="tx1"/>
            </w14:solidFill>
          </w14:textFill>
        </w:rPr>
      </w:pPr>
      <w:r>
        <w:rPr>
          <w:rFonts w:hint="eastAsia" w:ascii="宋体" w:hAnsi="宋体"/>
          <w:color w:val="000000" w:themeColor="text1"/>
          <w:sz w:val="18"/>
          <w:szCs w:val="21"/>
          <w14:textFill>
            <w14:solidFill>
              <w14:schemeClr w14:val="tx1"/>
            </w14:solidFill>
          </w14:textFill>
        </w:rPr>
        <w:t>2级：肌肉在不受重力影响下，可进行运动，即肢体能在床面上移动，但不能抬高。</w:t>
      </w:r>
    </w:p>
    <w:p w14:paraId="0C3EA217">
      <w:pPr>
        <w:pStyle w:val="14"/>
        <w:spacing w:line="204" w:lineRule="auto"/>
        <w:ind w:left="0" w:leftChars="0" w:firstLine="0" w:firstLineChars="0"/>
        <w:rPr>
          <w:rFonts w:ascii="宋体" w:hAnsi="宋体"/>
          <w:color w:val="000000" w:themeColor="text1"/>
          <w:sz w:val="18"/>
          <w:szCs w:val="21"/>
          <w14:textFill>
            <w14:solidFill>
              <w14:schemeClr w14:val="tx1"/>
            </w14:solidFill>
          </w14:textFill>
        </w:rPr>
      </w:pPr>
      <w:r>
        <w:rPr>
          <w:rFonts w:hint="eastAsia" w:ascii="宋体" w:hAnsi="宋体"/>
          <w:color w:val="000000" w:themeColor="text1"/>
          <w:sz w:val="18"/>
          <w:szCs w:val="21"/>
          <w14:textFill>
            <w14:solidFill>
              <w14:schemeClr w14:val="tx1"/>
            </w14:solidFill>
          </w14:textFill>
        </w:rPr>
        <w:t>3级：在和地心引力相反的方向中尚能完成其动作，但不能对抗外加阻力。</w:t>
      </w:r>
    </w:p>
    <w:p w14:paraId="2BBC6CCE">
      <w:pPr>
        <w:pStyle w:val="14"/>
        <w:spacing w:line="204" w:lineRule="auto"/>
        <w:ind w:left="0" w:leftChars="0" w:firstLine="0" w:firstLineChars="0"/>
        <w:rPr>
          <w:rFonts w:ascii="宋体" w:hAnsi="宋体"/>
          <w:color w:val="000000" w:themeColor="text1"/>
          <w:sz w:val="18"/>
          <w:szCs w:val="21"/>
          <w14:textFill>
            <w14:solidFill>
              <w14:schemeClr w14:val="tx1"/>
            </w14:solidFill>
          </w14:textFill>
        </w:rPr>
      </w:pPr>
      <w:r>
        <w:rPr>
          <w:rFonts w:hint="eastAsia" w:ascii="宋体" w:hAnsi="宋体"/>
          <w:color w:val="000000" w:themeColor="text1"/>
          <w:sz w:val="18"/>
          <w:szCs w:val="21"/>
          <w14:textFill>
            <w14:solidFill>
              <w14:schemeClr w14:val="tx1"/>
            </w14:solidFill>
          </w14:textFill>
        </w:rPr>
        <w:t>4级：能对抗一定的阻力，但较正常人为低。</w:t>
      </w:r>
    </w:p>
    <w:p w14:paraId="327FA9B5">
      <w:pPr>
        <w:pStyle w:val="14"/>
        <w:spacing w:line="204" w:lineRule="auto"/>
        <w:ind w:left="0" w:leftChars="0" w:firstLine="0" w:firstLineChars="0"/>
        <w:rPr>
          <w:rFonts w:ascii="宋体" w:hAnsi="宋体"/>
          <w:color w:val="000000" w:themeColor="text1"/>
          <w:sz w:val="18"/>
          <w:szCs w:val="21"/>
          <w14:textFill>
            <w14:solidFill>
              <w14:schemeClr w14:val="tx1"/>
            </w14:solidFill>
          </w14:textFill>
        </w:rPr>
      </w:pPr>
      <w:r>
        <w:rPr>
          <w:rFonts w:hint="eastAsia" w:ascii="宋体" w:hAnsi="宋体"/>
          <w:color w:val="000000" w:themeColor="text1"/>
          <w:sz w:val="18"/>
          <w:szCs w:val="21"/>
          <w14:textFill>
            <w14:solidFill>
              <w14:schemeClr w14:val="tx1"/>
            </w14:solidFill>
          </w14:textFill>
        </w:rPr>
        <w:t>5级：正常肌力。</w:t>
      </w:r>
    </w:p>
    <w:p w14:paraId="683AE906">
      <w:pPr>
        <w:pStyle w:val="14"/>
        <w:ind w:left="0" w:leftChars="0" w:firstLine="0" w:firstLineChars="0"/>
        <w:rPr>
          <w:rFonts w:ascii="宋体" w:hAnsi="宋体"/>
          <w:b/>
          <w:color w:val="000000" w:themeColor="text1"/>
          <w:sz w:val="18"/>
          <w:szCs w:val="21"/>
          <w14:textFill>
            <w14:solidFill>
              <w14:schemeClr w14:val="tx1"/>
            </w14:solidFill>
          </w14:textFill>
        </w:rPr>
      </w:pPr>
      <w:r>
        <w:rPr>
          <w:rFonts w:hint="eastAsia" w:ascii="宋体" w:hAnsi="宋体"/>
          <w:color w:val="000000" w:themeColor="text1"/>
          <w:sz w:val="18"/>
          <w:szCs w:val="21"/>
          <w14:textFill>
            <w14:solidFill>
              <w14:schemeClr w14:val="tx1"/>
            </w14:solidFill>
          </w14:textFill>
        </w:rPr>
        <w:t>如无特别说明，本合同下文提及处，意思相同。</w:t>
      </w:r>
    </w:p>
  </w:footnote>
  <w:footnote w:id="5">
    <w:p w14:paraId="0E0A0D39">
      <w:pPr>
        <w:pStyle w:val="14"/>
        <w:ind w:left="0" w:leftChars="0" w:firstLine="0" w:firstLineChars="0"/>
        <w:rPr>
          <w:rFonts w:ascii="宋体" w:hAnsi="宋体"/>
          <w:b/>
          <w:color w:val="000000" w:themeColor="text1"/>
          <w:sz w:val="18"/>
          <w:szCs w:val="21"/>
          <w14:textFill>
            <w14:solidFill>
              <w14:schemeClr w14:val="tx1"/>
            </w14:solidFill>
          </w14:textFill>
        </w:rPr>
      </w:pPr>
      <w:r>
        <w:rPr>
          <w:rStyle w:val="10"/>
          <w:rFonts w:ascii="宋体" w:hAnsi="宋体"/>
          <w:b/>
          <w:color w:val="000000" w:themeColor="text1"/>
          <w:sz w:val="18"/>
          <w:szCs w:val="21"/>
          <w14:textFill>
            <w14:solidFill>
              <w14:schemeClr w14:val="tx1"/>
            </w14:solidFill>
          </w14:textFill>
        </w:rPr>
        <w:footnoteRef/>
      </w:r>
      <w:r>
        <w:rPr>
          <w:rFonts w:hint="eastAsia" w:ascii="宋体" w:hAnsi="宋体"/>
          <w:b/>
          <w:color w:val="000000" w:themeColor="text1"/>
          <w:sz w:val="18"/>
          <w:szCs w:val="21"/>
          <w14:textFill>
            <w14:solidFill>
              <w14:schemeClr w14:val="tx1"/>
            </w14:solidFill>
          </w14:textFill>
        </w:rPr>
        <w:t xml:space="preserve"> 语言能力完全丧失：</w:t>
      </w:r>
      <w:r>
        <w:rPr>
          <w:rFonts w:hint="eastAsia" w:ascii="宋体" w:hAnsi="宋体"/>
          <w:color w:val="000000" w:themeColor="text1"/>
          <w:sz w:val="18"/>
          <w:szCs w:val="21"/>
          <w14:textFill>
            <w14:solidFill>
              <w14:schemeClr w14:val="tx1"/>
            </w14:solidFill>
          </w14:textFill>
        </w:rPr>
        <w:t>指无法发出四种语音（包括口唇音、齿舌音、口盖音和喉头音）中的任何三种、或声带全部切除，或因大脑语言中枢受伤害而患失语症。如无特别说明，本合同下文提及处，意思相同。</w:t>
      </w:r>
    </w:p>
  </w:footnote>
  <w:footnote w:id="6">
    <w:p w14:paraId="2C9BAB91">
      <w:pPr>
        <w:pStyle w:val="14"/>
        <w:ind w:left="0" w:leftChars="0" w:firstLine="0" w:firstLineChars="0"/>
        <w:rPr>
          <w:rFonts w:ascii="宋体" w:hAnsi="宋体"/>
          <w:b/>
          <w:color w:val="000000" w:themeColor="text1"/>
          <w:sz w:val="18"/>
          <w:szCs w:val="21"/>
          <w14:textFill>
            <w14:solidFill>
              <w14:schemeClr w14:val="tx1"/>
            </w14:solidFill>
          </w14:textFill>
        </w:rPr>
      </w:pPr>
      <w:r>
        <w:rPr>
          <w:rStyle w:val="10"/>
          <w:rFonts w:ascii="宋体" w:hAnsi="宋体"/>
          <w:b/>
          <w:color w:val="000000" w:themeColor="text1"/>
          <w:sz w:val="18"/>
          <w:szCs w:val="21"/>
          <w14:textFill>
            <w14:solidFill>
              <w14:schemeClr w14:val="tx1"/>
            </w14:solidFill>
          </w14:textFill>
        </w:rPr>
        <w:footnoteRef/>
      </w:r>
      <w:r>
        <w:rPr>
          <w:rFonts w:hint="eastAsia" w:ascii="宋体" w:hAnsi="宋体"/>
          <w:b/>
          <w:color w:val="000000" w:themeColor="text1"/>
          <w:sz w:val="18"/>
          <w:szCs w:val="21"/>
          <w14:textFill>
            <w14:solidFill>
              <w14:schemeClr w14:val="tx1"/>
            </w14:solidFill>
          </w14:textFill>
        </w:rPr>
        <w:t xml:space="preserve"> 严重咀嚼吞咽功能障碍：</w:t>
      </w:r>
      <w:r>
        <w:rPr>
          <w:rFonts w:hint="eastAsia" w:ascii="宋体" w:hAnsi="宋体"/>
          <w:color w:val="000000" w:themeColor="text1"/>
          <w:sz w:val="18"/>
          <w:szCs w:val="21"/>
          <w14:textFill>
            <w14:solidFill>
              <w14:schemeClr w14:val="tx1"/>
            </w14:solidFill>
          </w14:textFill>
        </w:rPr>
        <w:t>指因牙齿以外的原因导致器质障碍或机能障碍，以致不能作咀嚼吞咽运动，除流质食物外不能摄取或吞咽的状态。如无特别说明，本合同下文提及处，意思相同。</w:t>
      </w:r>
    </w:p>
  </w:footnote>
  <w:footnote w:id="7">
    <w:p w14:paraId="2BD8A527">
      <w:pPr>
        <w:pStyle w:val="14"/>
        <w:ind w:left="0" w:leftChars="0" w:firstLine="0" w:firstLineChars="0"/>
        <w:rPr>
          <w:rFonts w:ascii="宋体" w:hAnsi="宋体"/>
          <w:b/>
          <w:color w:val="000000" w:themeColor="text1"/>
          <w:sz w:val="18"/>
          <w:szCs w:val="21"/>
          <w14:textFill>
            <w14:solidFill>
              <w14:schemeClr w14:val="tx1"/>
            </w14:solidFill>
          </w14:textFill>
        </w:rPr>
      </w:pPr>
      <w:r>
        <w:rPr>
          <w:rStyle w:val="10"/>
          <w:rFonts w:ascii="宋体" w:hAnsi="宋体"/>
          <w:b/>
          <w:color w:val="000000" w:themeColor="text1"/>
          <w:sz w:val="18"/>
          <w14:textFill>
            <w14:solidFill>
              <w14:schemeClr w14:val="tx1"/>
            </w14:solidFill>
          </w14:textFill>
        </w:rPr>
        <w:footnoteRef/>
      </w:r>
      <w:r>
        <w:rPr>
          <w:rFonts w:hint="eastAsia" w:ascii="宋体" w:hAnsi="宋体"/>
          <w:b/>
          <w:color w:val="000000" w:themeColor="text1"/>
          <w:sz w:val="18"/>
          <w:szCs w:val="21"/>
          <w14:textFill>
            <w14:solidFill>
              <w14:schemeClr w14:val="tx1"/>
            </w14:solidFill>
          </w14:textFill>
        </w:rPr>
        <w:t xml:space="preserve"> 六项基本日常生活活动</w:t>
      </w:r>
      <w:r>
        <w:rPr>
          <w:rFonts w:hint="eastAsia" w:ascii="宋体" w:hAnsi="宋体"/>
          <w:color w:val="000000" w:themeColor="text1"/>
          <w:sz w:val="18"/>
          <w:szCs w:val="21"/>
          <w14:textFill>
            <w14:solidFill>
              <w14:schemeClr w14:val="tx1"/>
            </w14:solidFill>
          </w14:textFill>
        </w:rPr>
        <w:t>：是指：（1）穿衣：自己能够穿衣及脱衣；（2）移动：自己从一个房间到另一个房间；（3）行动：自己上下床或上下轮椅；（4）如厕：自己控制进行大小便；（5）进食：自己从已准备好的碗或碟中取食物放入口中；（6）洗澡：自己进行淋浴或盆浴。</w:t>
      </w:r>
      <w:r>
        <w:rPr>
          <w:rFonts w:hint="eastAsia" w:ascii="宋体" w:hAnsi="宋体"/>
          <w:b/>
          <w:color w:val="000000" w:themeColor="text1"/>
          <w:sz w:val="18"/>
          <w:szCs w:val="21"/>
          <w14:textFill>
            <w14:solidFill>
              <w14:schemeClr w14:val="tx1"/>
            </w14:solidFill>
          </w14:textFill>
        </w:rPr>
        <w:t>六项基本日常生活活动能力的鉴定不适用于0-3周岁幼儿。</w:t>
      </w:r>
      <w:r>
        <w:rPr>
          <w:rFonts w:hint="eastAsia" w:ascii="宋体" w:hAnsi="宋体"/>
          <w:color w:val="000000" w:themeColor="text1"/>
          <w:sz w:val="18"/>
          <w:szCs w:val="21"/>
          <w14:textFill>
            <w14:solidFill>
              <w14:schemeClr w14:val="tx1"/>
            </w14:solidFill>
          </w14:textFill>
        </w:rPr>
        <w:t>如无特别说明，本合同下文提及处，意思相同。</w:t>
      </w:r>
    </w:p>
  </w:footnote>
  <w:footnote w:id="8">
    <w:p w14:paraId="6EDF4763">
      <w:pPr>
        <w:pStyle w:val="14"/>
        <w:ind w:left="0" w:leftChars="0" w:firstLine="0" w:firstLineChars="0"/>
        <w:rPr>
          <w:rFonts w:ascii="宋体" w:hAnsi="宋体"/>
          <w:b/>
          <w:szCs w:val="21"/>
        </w:rPr>
      </w:pPr>
      <w:r>
        <w:rPr>
          <w:rStyle w:val="10"/>
          <w:rFonts w:ascii="宋体" w:hAnsi="宋体"/>
          <w:b/>
          <w:sz w:val="18"/>
        </w:rPr>
        <w:footnoteRef/>
      </w:r>
      <w:r>
        <w:rPr>
          <w:rFonts w:hint="eastAsia" w:ascii="宋体" w:hAnsi="宋体"/>
          <w:b/>
          <w:sz w:val="18"/>
          <w:szCs w:val="21"/>
        </w:rPr>
        <w:t xml:space="preserve"> 永久不可逆：</w:t>
      </w:r>
      <w:r>
        <w:rPr>
          <w:rFonts w:hint="eastAsia" w:ascii="宋体" w:hAnsi="宋体"/>
          <w:sz w:val="18"/>
          <w:szCs w:val="21"/>
        </w:rPr>
        <w:t>指自疾病确诊或意外伤害发生之日起，经过积极治疗180天后，仍无法通过现有医疗手段恢复。如无特别说明，本合同下文提及处，意思相同。</w:t>
      </w:r>
    </w:p>
  </w:footnote>
  <w:footnote w:id="9">
    <w:p w14:paraId="6CF0FA42">
      <w:pPr>
        <w:pStyle w:val="14"/>
        <w:ind w:left="0" w:leftChars="0" w:firstLine="0" w:firstLineChars="0"/>
        <w:rPr>
          <w:rFonts w:ascii="宋体" w:hAnsi="宋体"/>
          <w:b/>
          <w:color w:val="000000" w:themeColor="text1"/>
          <w:sz w:val="18"/>
          <w:szCs w:val="21"/>
          <w14:textFill>
            <w14:solidFill>
              <w14:schemeClr w14:val="tx1"/>
            </w14:solidFill>
          </w14:textFill>
        </w:rPr>
      </w:pPr>
      <w:r>
        <w:rPr>
          <w:rStyle w:val="10"/>
          <w:rFonts w:ascii="宋体" w:hAnsi="宋体"/>
          <w:b/>
          <w:sz w:val="18"/>
        </w:rPr>
        <w:footnoteRef/>
      </w:r>
      <w:r>
        <w:rPr>
          <w:rFonts w:hint="eastAsia" w:ascii="宋体" w:hAnsi="宋体"/>
          <w:b/>
          <w:sz w:val="18"/>
          <w:szCs w:val="21"/>
        </w:rPr>
        <w:t xml:space="preserve"> 美国</w:t>
      </w:r>
      <w:r>
        <w:rPr>
          <w:rFonts w:hint="eastAsia" w:ascii="宋体" w:hAnsi="宋体"/>
          <w:b/>
          <w:color w:val="000000" w:themeColor="text1"/>
          <w:sz w:val="18"/>
          <w:szCs w:val="21"/>
          <w14:textFill>
            <w14:solidFill>
              <w14:schemeClr w14:val="tx1"/>
            </w14:solidFill>
          </w14:textFill>
        </w:rPr>
        <w:t>纽约心脏病学会（New York Heart Association，NYHA）心功能状态分级：</w:t>
      </w:r>
      <w:r>
        <w:rPr>
          <w:rFonts w:hint="eastAsia" w:ascii="宋体" w:hAnsi="宋体"/>
          <w:color w:val="000000" w:themeColor="text1"/>
          <w:sz w:val="18"/>
          <w:szCs w:val="21"/>
          <w14:textFill>
            <w14:solidFill>
              <w14:schemeClr w14:val="tx1"/>
            </w14:solidFill>
          </w14:textFill>
        </w:rPr>
        <w:t>美国纽约心脏病学会（New York Heart Association，NYHA）将心功能状态分为四级：</w:t>
      </w:r>
    </w:p>
    <w:p w14:paraId="43EFDE33">
      <w:pPr>
        <w:pStyle w:val="14"/>
        <w:ind w:left="0" w:leftChars="0" w:firstLine="0" w:firstLineChars="0"/>
        <w:rPr>
          <w:rFonts w:ascii="宋体" w:hAnsi="宋体"/>
          <w:color w:val="000000" w:themeColor="text1"/>
          <w:sz w:val="18"/>
          <w:szCs w:val="21"/>
          <w14:textFill>
            <w14:solidFill>
              <w14:schemeClr w14:val="tx1"/>
            </w14:solidFill>
          </w14:textFill>
        </w:rPr>
      </w:pPr>
      <w:r>
        <w:rPr>
          <w:rFonts w:hint="eastAsia" w:ascii="宋体" w:hAnsi="宋体"/>
          <w:color w:val="000000" w:themeColor="text1"/>
          <w:sz w:val="18"/>
          <w:szCs w:val="21"/>
          <w14:textFill>
            <w14:solidFill>
              <w14:schemeClr w14:val="tx1"/>
            </w14:solidFill>
          </w14:textFill>
        </w:rPr>
        <w:t>Ⅰ级：心脏病病人日常活动量不受限制，一般活动不引起乏力、呼吸困难等心衰症状。</w:t>
      </w:r>
    </w:p>
    <w:p w14:paraId="087EB613">
      <w:pPr>
        <w:pStyle w:val="14"/>
        <w:ind w:left="0" w:leftChars="0" w:firstLine="0" w:firstLineChars="0"/>
        <w:rPr>
          <w:rFonts w:ascii="宋体" w:hAnsi="宋体"/>
          <w:color w:val="000000" w:themeColor="text1"/>
          <w:sz w:val="18"/>
          <w:szCs w:val="21"/>
          <w14:textFill>
            <w14:solidFill>
              <w14:schemeClr w14:val="tx1"/>
            </w14:solidFill>
          </w14:textFill>
        </w:rPr>
      </w:pPr>
      <w:r>
        <w:rPr>
          <w:rFonts w:hint="eastAsia" w:ascii="宋体" w:hAnsi="宋体"/>
          <w:color w:val="000000" w:themeColor="text1"/>
          <w:sz w:val="18"/>
          <w:szCs w:val="21"/>
          <w14:textFill>
            <w14:solidFill>
              <w14:schemeClr w14:val="tx1"/>
            </w14:solidFill>
          </w14:textFill>
        </w:rPr>
        <w:t>Ⅱ级：心脏病病人体力活动轻度受限制，休息时无自觉症状，一般活动下可出现心衰症状。</w:t>
      </w:r>
    </w:p>
    <w:p w14:paraId="6D11B9E8">
      <w:pPr>
        <w:pStyle w:val="14"/>
        <w:ind w:left="0" w:leftChars="0" w:firstLine="0" w:firstLineChars="0"/>
        <w:rPr>
          <w:rFonts w:ascii="宋体" w:hAnsi="宋体"/>
          <w:color w:val="000000" w:themeColor="text1"/>
          <w:sz w:val="18"/>
          <w:szCs w:val="21"/>
          <w14:textFill>
            <w14:solidFill>
              <w14:schemeClr w14:val="tx1"/>
            </w14:solidFill>
          </w14:textFill>
        </w:rPr>
      </w:pPr>
      <w:r>
        <w:rPr>
          <w:rFonts w:hint="eastAsia" w:ascii="宋体" w:hAnsi="宋体"/>
          <w:color w:val="000000" w:themeColor="text1"/>
          <w:sz w:val="18"/>
          <w:szCs w:val="21"/>
          <w14:textFill>
            <w14:solidFill>
              <w14:schemeClr w14:val="tx1"/>
            </w14:solidFill>
          </w14:textFill>
        </w:rPr>
        <w:t>Ⅲ级：心脏病病人体力活动明显受限，低于平时一般活动即引起心衰症状。</w:t>
      </w:r>
    </w:p>
    <w:p w14:paraId="26F248A4">
      <w:pPr>
        <w:pStyle w:val="14"/>
        <w:ind w:left="0" w:leftChars="0" w:firstLine="0" w:firstLineChars="0"/>
        <w:rPr>
          <w:rFonts w:ascii="宋体" w:hAnsi="宋体"/>
          <w:color w:val="FF0000"/>
          <w:szCs w:val="21"/>
        </w:rPr>
      </w:pPr>
      <w:r>
        <w:rPr>
          <w:rFonts w:hint="eastAsia" w:ascii="宋体" w:hAnsi="宋体"/>
          <w:color w:val="000000" w:themeColor="text1"/>
          <w:sz w:val="18"/>
          <w:szCs w:val="21"/>
          <w14:textFill>
            <w14:solidFill>
              <w14:schemeClr w14:val="tx1"/>
            </w14:solidFill>
          </w14:textFill>
        </w:rPr>
        <w:t>Ⅳ级：心脏病病人不能从事任何体力活动，休息状态下也存在心衰症状，活动后加重。</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0"/>
    <w:footnote w:id="2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lODNhZmI4YWY4ZmYzMmUwNTU4NzQ2MTJhZGM5MGYifQ=="/>
  </w:docVars>
  <w:rsids>
    <w:rsidRoot w:val="00000000"/>
    <w:rsid w:val="01113D6B"/>
    <w:rsid w:val="012C2BC2"/>
    <w:rsid w:val="014D4677"/>
    <w:rsid w:val="01B02834"/>
    <w:rsid w:val="02AB072B"/>
    <w:rsid w:val="03885EBA"/>
    <w:rsid w:val="06AE5BB8"/>
    <w:rsid w:val="09F22135"/>
    <w:rsid w:val="0A03446D"/>
    <w:rsid w:val="0CEF2A86"/>
    <w:rsid w:val="16D03928"/>
    <w:rsid w:val="18151829"/>
    <w:rsid w:val="18B92896"/>
    <w:rsid w:val="19595E57"/>
    <w:rsid w:val="1E577B94"/>
    <w:rsid w:val="1E96710A"/>
    <w:rsid w:val="22B81E40"/>
    <w:rsid w:val="2C3C00D4"/>
    <w:rsid w:val="2C867004"/>
    <w:rsid w:val="30F27F9A"/>
    <w:rsid w:val="32C4038E"/>
    <w:rsid w:val="331D184C"/>
    <w:rsid w:val="3569521C"/>
    <w:rsid w:val="373C45E9"/>
    <w:rsid w:val="3B9D79CE"/>
    <w:rsid w:val="3BB932C0"/>
    <w:rsid w:val="3BBD3BCC"/>
    <w:rsid w:val="3C1954E5"/>
    <w:rsid w:val="3C936A65"/>
    <w:rsid w:val="3EB92D70"/>
    <w:rsid w:val="458659AA"/>
    <w:rsid w:val="49153299"/>
    <w:rsid w:val="4CDD40CE"/>
    <w:rsid w:val="4FCB2904"/>
    <w:rsid w:val="51536EE0"/>
    <w:rsid w:val="53E806E7"/>
    <w:rsid w:val="5C9B5433"/>
    <w:rsid w:val="5D31181C"/>
    <w:rsid w:val="5EA06D09"/>
    <w:rsid w:val="61903065"/>
    <w:rsid w:val="62350DAA"/>
    <w:rsid w:val="68070B84"/>
    <w:rsid w:val="6A2A7DEB"/>
    <w:rsid w:val="6B59096C"/>
    <w:rsid w:val="6DC709F1"/>
    <w:rsid w:val="73D8658A"/>
    <w:rsid w:val="74E938A0"/>
    <w:rsid w:val="75541C77"/>
    <w:rsid w:val="77C17FC5"/>
    <w:rsid w:val="7ADC6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Calibri Light" w:hAnsi="Calibri Light"/>
      <w:b/>
      <w:bCs/>
      <w:sz w:val="32"/>
      <w:szCs w:val="32"/>
    </w:rPr>
  </w:style>
  <w:style w:type="paragraph" w:styleId="3">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99"/>
    <w:pPr>
      <w:jc w:val="left"/>
    </w:pPr>
  </w:style>
  <w:style w:type="paragraph" w:styleId="5">
    <w:name w:val="footer"/>
    <w:basedOn w:val="1"/>
    <w:qFormat/>
    <w:uiPriority w:val="99"/>
    <w:pPr>
      <w:tabs>
        <w:tab w:val="center" w:pos="4153"/>
        <w:tab w:val="right" w:pos="8306"/>
      </w:tabs>
      <w:snapToGrid w:val="0"/>
      <w:jc w:val="left"/>
    </w:pPr>
    <w:rPr>
      <w:rFonts w:ascii="Calibri" w:hAnsi="Calibri"/>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qFormat/>
    <w:uiPriority w:val="99"/>
    <w:pPr>
      <w:autoSpaceDE w:val="0"/>
      <w:autoSpaceDN w:val="0"/>
      <w:adjustRightInd w:val="0"/>
      <w:spacing w:before="240" w:after="60"/>
      <w:jc w:val="center"/>
      <w:outlineLvl w:val="0"/>
    </w:pPr>
    <w:rPr>
      <w:rFonts w:ascii="Arial" w:hAnsi="Arial"/>
      <w:b/>
      <w:kern w:val="0"/>
      <w:sz w:val="32"/>
      <w:szCs w:val="20"/>
    </w:rPr>
  </w:style>
  <w:style w:type="character" w:styleId="10">
    <w:name w:val="footnote reference"/>
    <w:qFormat/>
    <w:uiPriority w:val="0"/>
    <w:rPr>
      <w:vertAlign w:val="superscript"/>
    </w:rPr>
  </w:style>
  <w:style w:type="paragraph" w:customStyle="1" w:styleId="11">
    <w:name w:val="条款标题"/>
    <w:basedOn w:val="1"/>
    <w:qFormat/>
    <w:uiPriority w:val="99"/>
    <w:pPr>
      <w:tabs>
        <w:tab w:val="left" w:pos="840"/>
      </w:tabs>
      <w:adjustRightInd w:val="0"/>
      <w:snapToGrid w:val="0"/>
    </w:pPr>
    <w:rPr>
      <w:b/>
    </w:rPr>
  </w:style>
  <w:style w:type="paragraph" w:customStyle="1" w:styleId="12">
    <w:name w:val="Default"/>
    <w:qFormat/>
    <w:uiPriority w:val="99"/>
    <w:pPr>
      <w:widowControl w:val="0"/>
      <w:autoSpaceDE w:val="0"/>
      <w:autoSpaceDN w:val="0"/>
      <w:adjustRightInd w:val="0"/>
    </w:pPr>
    <w:rPr>
      <w:rFonts w:ascii="幼圆" w:hAnsi="Calibri" w:eastAsia="幼圆" w:cs="幼圆"/>
      <w:color w:val="000000"/>
      <w:sz w:val="24"/>
      <w:szCs w:val="24"/>
      <w:lang w:val="en-US" w:eastAsia="zh-CN" w:bidi="ar-SA"/>
    </w:rPr>
  </w:style>
  <w:style w:type="paragraph" w:styleId="13">
    <w:name w:val="List Paragraph"/>
    <w:basedOn w:val="1"/>
    <w:qFormat/>
    <w:uiPriority w:val="99"/>
    <w:pPr>
      <w:ind w:firstLine="420" w:firstLineChars="200"/>
    </w:pPr>
  </w:style>
  <w:style w:type="paragraph" w:customStyle="1" w:styleId="14">
    <w:name w:val="条款正文"/>
    <w:basedOn w:val="1"/>
    <w:qFormat/>
    <w:uiPriority w:val="0"/>
    <w:pPr>
      <w:adjustRightInd w:val="0"/>
      <w:snapToGrid w:val="0"/>
      <w:ind w:left="840" w:leftChars="400" w:firstLine="420" w:firstLineChars="200"/>
    </w:pPr>
    <w:rPr>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9380</Words>
  <Characters>9726</Characters>
  <Lines>0</Lines>
  <Paragraphs>0</Paragraphs>
  <TotalTime>0</TotalTime>
  <ScaleCrop>false</ScaleCrop>
  <LinksUpToDate>false</LinksUpToDate>
  <CharactersWithSpaces>9777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2026-02-05T03:13:00Z</dcterms:created>
  <dc:creator>Administrator</dc:creator>
  <cp:lastModifiedBy>刘晴</cp:lastModifiedBy>
  <dcterms:modified xsi:type="dcterms:W3CDTF">2026-07-08T06:06:56Z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KSOTemplateDocerSaveRecord">
    <vt:lpwstr>eyJoZGlkIjoiYWMyZjkxYWVjZTAzZTUwOTE2ZTM4OWM5MDE0NzczNTIiLCJ1c2VySWQiOiIxNzEyNjY2NzU0In0=</vt:lpwstr>
  </property>
  <property fmtid="{D5CDD505-2E9C-101B-9397-08002B2CF9AE}" pid="4" name="ICV">
    <vt:lpwstr>7D20871C228A4056AD5E695C1FAE26E6_12</vt:lpwstr>
  </property>
</Properties>
</file>