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D3EC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华农财产保险股份有限公司广西地区学生意外伤害保险（202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lang w:val="en-US" w:eastAsia="zh-CN"/>
        </w:rPr>
        <w:t>6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版）</w:t>
      </w:r>
    </w:p>
    <w:p w14:paraId="3F98769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费率表</w:t>
      </w:r>
    </w:p>
    <w:p w14:paraId="7E5DB7B2">
      <w:pPr>
        <w:spacing w:line="413" w:lineRule="auto"/>
        <w:rPr>
          <w:rFonts w:ascii="Arial"/>
          <w:sz w:val="21"/>
        </w:rPr>
      </w:pPr>
    </w:p>
    <w:p w14:paraId="4CBD3AA7">
      <w:pPr>
        <w:spacing w:before="0" w:line="240" w:lineRule="auto"/>
        <w:ind w:left="0"/>
        <w:outlineLvl w:val="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6"/>
          <w:sz w:val="21"/>
          <w:szCs w:val="21"/>
        </w:rPr>
        <w:t>一、基准费率</w:t>
      </w:r>
      <w:bookmarkStart w:id="1" w:name="_GoBack"/>
      <w:bookmarkEnd w:id="1"/>
    </w:p>
    <w:p w14:paraId="0EB2591A">
      <w:pPr>
        <w:spacing w:before="0" w:line="240" w:lineRule="auto"/>
        <w:ind w:lef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3"/>
          <w:sz w:val="21"/>
          <w:szCs w:val="21"/>
        </w:rPr>
        <w:t>0.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315</w:t>
      </w:r>
      <w:r>
        <w:rPr>
          <w:rFonts w:hint="eastAsia" w:ascii="宋体" w:hAnsi="宋体" w:eastAsia="宋体" w:cs="宋体"/>
          <w:spacing w:val="3"/>
          <w:sz w:val="21"/>
          <w:szCs w:val="21"/>
        </w:rPr>
        <w:t>‰</w:t>
      </w:r>
    </w:p>
    <w:p w14:paraId="2DD9115C">
      <w:pPr>
        <w:spacing w:line="240" w:lineRule="auto"/>
        <w:rPr>
          <w:rFonts w:hint="eastAsia" w:ascii="宋体" w:hAnsi="宋体" w:eastAsia="宋体" w:cs="宋体"/>
          <w:sz w:val="21"/>
        </w:rPr>
      </w:pPr>
    </w:p>
    <w:p w14:paraId="49FFA47D">
      <w:pPr>
        <w:spacing w:before="0" w:line="240" w:lineRule="auto"/>
        <w:ind w:left="0"/>
        <w:outlineLvl w:val="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7"/>
          <w:sz w:val="21"/>
          <w:szCs w:val="21"/>
        </w:rPr>
        <w:t>二、费率调整系数</w:t>
      </w:r>
    </w:p>
    <w:p w14:paraId="04F6A93F">
      <w:pPr>
        <w:spacing w:before="0" w:line="240" w:lineRule="auto"/>
        <w:ind w:lef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、学校类型调整系数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F1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）</w:t>
      </w:r>
    </w:p>
    <w:tbl>
      <w:tblPr>
        <w:tblStyle w:val="6"/>
        <w:tblW w:w="5003" w:type="pct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1"/>
        <w:gridCol w:w="1802"/>
      </w:tblGrid>
      <w:tr w14:paraId="56B4A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737" w:type="dxa"/>
            <w:vAlign w:val="center"/>
          </w:tcPr>
          <w:p w14:paraId="53D45EC2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学校类型</w:t>
            </w:r>
          </w:p>
        </w:tc>
        <w:tc>
          <w:tcPr>
            <w:tcW w:w="1801" w:type="dxa"/>
            <w:vAlign w:val="center"/>
          </w:tcPr>
          <w:p w14:paraId="49A699AF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调整系数</w:t>
            </w:r>
          </w:p>
        </w:tc>
      </w:tr>
      <w:tr w14:paraId="62A22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737" w:type="dxa"/>
            <w:vAlign w:val="center"/>
          </w:tcPr>
          <w:p w14:paraId="2488FC53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小学、幼儿园</w:t>
            </w:r>
          </w:p>
        </w:tc>
        <w:tc>
          <w:tcPr>
            <w:tcW w:w="1801" w:type="dxa"/>
            <w:vAlign w:val="center"/>
          </w:tcPr>
          <w:p w14:paraId="228A9ADD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[1.0,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</w:p>
        </w:tc>
      </w:tr>
      <w:tr w14:paraId="276552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737" w:type="dxa"/>
            <w:vAlign w:val="center"/>
          </w:tcPr>
          <w:p w14:paraId="3D90D8E3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初中、高中、职业高中</w:t>
            </w:r>
          </w:p>
        </w:tc>
        <w:tc>
          <w:tcPr>
            <w:tcW w:w="1801" w:type="dxa"/>
            <w:vAlign w:val="center"/>
          </w:tcPr>
          <w:p w14:paraId="5BF2399D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[0.9,1.0)</w:t>
            </w:r>
          </w:p>
        </w:tc>
      </w:tr>
      <w:tr w14:paraId="327969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737" w:type="dxa"/>
            <w:vAlign w:val="center"/>
          </w:tcPr>
          <w:p w14:paraId="5545C724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大学、大专、中专</w:t>
            </w:r>
          </w:p>
        </w:tc>
        <w:tc>
          <w:tcPr>
            <w:tcW w:w="1801" w:type="dxa"/>
            <w:vAlign w:val="center"/>
          </w:tcPr>
          <w:p w14:paraId="2780A585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[0.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,0.9)</w:t>
            </w:r>
          </w:p>
        </w:tc>
      </w:tr>
      <w:tr w14:paraId="665604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737" w:type="dxa"/>
            <w:vAlign w:val="center"/>
          </w:tcPr>
          <w:p w14:paraId="57C87140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体育院校、武术院校、特殊学校等其它学校</w:t>
            </w:r>
          </w:p>
        </w:tc>
        <w:tc>
          <w:tcPr>
            <w:tcW w:w="1801" w:type="dxa"/>
            <w:vAlign w:val="center"/>
          </w:tcPr>
          <w:p w14:paraId="32C3E4EA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[1.0,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</w:p>
        </w:tc>
      </w:tr>
    </w:tbl>
    <w:p w14:paraId="42955E42">
      <w:pPr>
        <w:spacing w:before="0" w:line="240" w:lineRule="auto"/>
        <w:ind w:left="0"/>
        <w:rPr>
          <w:rFonts w:hint="eastAsia" w:ascii="宋体" w:hAnsi="宋体" w:eastAsia="宋体" w:cs="宋体"/>
          <w:spacing w:val="7"/>
          <w:sz w:val="21"/>
          <w:szCs w:val="21"/>
        </w:rPr>
      </w:pPr>
    </w:p>
    <w:p w14:paraId="3BDCC550"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pacing w:val="7"/>
          <w:sz w:val="21"/>
          <w:szCs w:val="21"/>
        </w:rPr>
        <w:t>、上学方式调整系数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F2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）</w:t>
      </w:r>
    </w:p>
    <w:tbl>
      <w:tblPr>
        <w:tblStyle w:val="6"/>
        <w:tblW w:w="5003" w:type="pct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4"/>
        <w:gridCol w:w="1789"/>
      </w:tblGrid>
      <w:tr w14:paraId="2B130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750" w:type="dxa"/>
            <w:vAlign w:val="center"/>
          </w:tcPr>
          <w:p w14:paraId="222A713E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上学方式</w:t>
            </w:r>
          </w:p>
        </w:tc>
        <w:tc>
          <w:tcPr>
            <w:tcW w:w="1788" w:type="dxa"/>
            <w:vAlign w:val="center"/>
          </w:tcPr>
          <w:p w14:paraId="2AD374EA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调整系数</w:t>
            </w:r>
          </w:p>
        </w:tc>
      </w:tr>
      <w:tr w14:paraId="4661F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750" w:type="dxa"/>
            <w:vAlign w:val="center"/>
          </w:tcPr>
          <w:p w14:paraId="12E0CD8F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住校</w:t>
            </w:r>
          </w:p>
        </w:tc>
        <w:tc>
          <w:tcPr>
            <w:tcW w:w="1788" w:type="dxa"/>
            <w:vAlign w:val="center"/>
          </w:tcPr>
          <w:p w14:paraId="0BE9B714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[0.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,0.8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</w:tr>
      <w:tr w14:paraId="1085F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750" w:type="dxa"/>
            <w:vAlign w:val="center"/>
          </w:tcPr>
          <w:p w14:paraId="71298543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校车或其他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  <w:lang w:val="en-US" w:eastAsia="zh-CN"/>
              </w:rPr>
              <w:t>学校统一指定方式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等</w:t>
            </w:r>
          </w:p>
        </w:tc>
        <w:tc>
          <w:tcPr>
            <w:tcW w:w="1788" w:type="dxa"/>
            <w:vAlign w:val="center"/>
          </w:tcPr>
          <w:p w14:paraId="620248D6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[0.8,1.0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</w:p>
        </w:tc>
      </w:tr>
      <w:tr w14:paraId="1F07E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6750" w:type="dxa"/>
            <w:vAlign w:val="center"/>
          </w:tcPr>
          <w:p w14:paraId="12A520AB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步行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自行车等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学生自行上学方式</w:t>
            </w:r>
          </w:p>
        </w:tc>
        <w:tc>
          <w:tcPr>
            <w:tcW w:w="1788" w:type="dxa"/>
            <w:vAlign w:val="center"/>
          </w:tcPr>
          <w:p w14:paraId="25F6D4BF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[1.0,1.2]</w:t>
            </w:r>
          </w:p>
        </w:tc>
      </w:tr>
    </w:tbl>
    <w:p w14:paraId="2F91E004">
      <w:pPr>
        <w:spacing w:before="0" w:line="240" w:lineRule="auto"/>
        <w:ind w:left="0"/>
        <w:rPr>
          <w:rFonts w:hint="eastAsia" w:ascii="宋体" w:hAnsi="宋体" w:eastAsia="宋体" w:cs="宋体"/>
          <w:spacing w:val="8"/>
          <w:sz w:val="21"/>
          <w:szCs w:val="21"/>
        </w:rPr>
      </w:pPr>
    </w:p>
    <w:p w14:paraId="2EF6A476">
      <w:pPr>
        <w:ind w:firstLine="0" w:firstLineChars="0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3、学校</w:t>
      </w:r>
      <w:r>
        <w:rPr>
          <w:rFonts w:hint="eastAsia" w:ascii="宋体" w:hAnsi="宋体" w:eastAsia="宋体" w:cs="宋体"/>
          <w:b w:val="0"/>
          <w:bCs/>
          <w:szCs w:val="21"/>
        </w:rPr>
        <w:t>风险管理水平调整系数（F</w:t>
      </w: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Cs w:val="21"/>
        </w:rPr>
        <w:t>）</w:t>
      </w:r>
    </w:p>
    <w:tbl>
      <w:tblPr>
        <w:tblStyle w:val="4"/>
        <w:tblW w:w="48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8"/>
        <w:gridCol w:w="1817"/>
      </w:tblGrid>
      <w:tr w14:paraId="7A14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3935" w:type="pct"/>
            <w:vAlign w:val="center"/>
          </w:tcPr>
          <w:p w14:paraId="535804A5"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风险管理水平</w:t>
            </w:r>
          </w:p>
        </w:tc>
        <w:tc>
          <w:tcPr>
            <w:tcW w:w="1064" w:type="pct"/>
            <w:vAlign w:val="center"/>
          </w:tcPr>
          <w:p w14:paraId="2BAE1372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调整系数</w:t>
            </w:r>
          </w:p>
        </w:tc>
      </w:tr>
      <w:tr w14:paraId="2FFA8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3935" w:type="pct"/>
            <w:vAlign w:val="center"/>
          </w:tcPr>
          <w:p w14:paraId="279405DE"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的风险管理规章制度健全，管理能力较强</w:t>
            </w:r>
          </w:p>
        </w:tc>
        <w:tc>
          <w:tcPr>
            <w:tcW w:w="1064" w:type="pct"/>
            <w:vAlign w:val="center"/>
          </w:tcPr>
          <w:p w14:paraId="1F7C2C1F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[0.7,0.9]</w:t>
            </w:r>
          </w:p>
        </w:tc>
      </w:tr>
      <w:tr w14:paraId="697C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3935" w:type="pct"/>
            <w:vAlign w:val="center"/>
          </w:tcPr>
          <w:p w14:paraId="540D270B"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的风险管理规章制度较为健全，管理能力一般</w:t>
            </w:r>
          </w:p>
        </w:tc>
        <w:tc>
          <w:tcPr>
            <w:tcW w:w="1064" w:type="pct"/>
            <w:vAlign w:val="center"/>
          </w:tcPr>
          <w:p w14:paraId="4990FC25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(0.9,1.0]</w:t>
            </w:r>
          </w:p>
        </w:tc>
      </w:tr>
      <w:tr w14:paraId="0F12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3935" w:type="pct"/>
            <w:vAlign w:val="center"/>
          </w:tcPr>
          <w:p w14:paraId="2377A97B">
            <w:pPr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 w:val="0"/>
                <w:bCs/>
                <w:szCs w:val="21"/>
              </w:rPr>
              <w:t>的风险管理规章制度不健全，管理能力较差</w:t>
            </w:r>
          </w:p>
        </w:tc>
        <w:tc>
          <w:tcPr>
            <w:tcW w:w="1064" w:type="pct"/>
            <w:vAlign w:val="center"/>
          </w:tcPr>
          <w:p w14:paraId="1FC7120C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(1.0,1.3]</w:t>
            </w:r>
          </w:p>
        </w:tc>
      </w:tr>
    </w:tbl>
    <w:p w14:paraId="76BEEDEE">
      <w:pPr>
        <w:spacing w:before="0" w:line="240" w:lineRule="auto"/>
        <w:ind w:left="0"/>
        <w:rPr>
          <w:rFonts w:hint="eastAsia" w:ascii="宋体" w:hAnsi="宋体" w:eastAsia="宋体" w:cs="宋体"/>
          <w:spacing w:val="8"/>
          <w:sz w:val="21"/>
          <w:szCs w:val="21"/>
          <w:lang w:val="en-US"/>
        </w:rPr>
      </w:pPr>
    </w:p>
    <w:p w14:paraId="0BB808E1"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8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、渠道调整系数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F4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）</w:t>
      </w:r>
    </w:p>
    <w:tbl>
      <w:tblPr>
        <w:tblStyle w:val="6"/>
        <w:tblW w:w="5003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3"/>
        <w:gridCol w:w="1820"/>
      </w:tblGrid>
      <w:tr w14:paraId="0BEE8F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jc w:val="center"/>
        </w:trPr>
        <w:tc>
          <w:tcPr>
            <w:tcW w:w="6719" w:type="dxa"/>
            <w:vAlign w:val="center"/>
          </w:tcPr>
          <w:p w14:paraId="497B21C9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渠道</w:t>
            </w:r>
          </w:p>
        </w:tc>
        <w:tc>
          <w:tcPr>
            <w:tcW w:w="1819" w:type="dxa"/>
            <w:vAlign w:val="center"/>
          </w:tcPr>
          <w:p w14:paraId="233CFFBF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调整系数</w:t>
            </w:r>
          </w:p>
        </w:tc>
      </w:tr>
      <w:tr w14:paraId="222131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6719" w:type="dxa"/>
            <w:vAlign w:val="center"/>
          </w:tcPr>
          <w:p w14:paraId="34CC8FC8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直销（或销售费用率等同直销的渠道）</w:t>
            </w:r>
          </w:p>
        </w:tc>
        <w:tc>
          <w:tcPr>
            <w:tcW w:w="1819" w:type="dxa"/>
            <w:vAlign w:val="center"/>
          </w:tcPr>
          <w:p w14:paraId="1AD96471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[0.7,1.0]</w:t>
            </w:r>
          </w:p>
        </w:tc>
      </w:tr>
      <w:tr w14:paraId="6AE513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6719" w:type="dxa"/>
            <w:vAlign w:val="center"/>
          </w:tcPr>
          <w:p w14:paraId="6CF5EA88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其他第三方渠道</w:t>
            </w:r>
          </w:p>
        </w:tc>
        <w:tc>
          <w:tcPr>
            <w:tcW w:w="1819" w:type="dxa"/>
            <w:vAlign w:val="center"/>
          </w:tcPr>
          <w:p w14:paraId="194B1456">
            <w:pPr>
              <w:pStyle w:val="7"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(1.0,1.3]</w:t>
            </w:r>
          </w:p>
        </w:tc>
      </w:tr>
    </w:tbl>
    <w:p w14:paraId="18E11999">
      <w:pPr>
        <w:spacing w:before="0" w:line="240" w:lineRule="auto"/>
        <w:ind w:lef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注：根据渠道销售费用率水平按比例调整。</w:t>
      </w:r>
    </w:p>
    <w:p w14:paraId="3047F0ED">
      <w:pPr>
        <w:spacing w:before="0" w:line="240" w:lineRule="auto"/>
        <w:ind w:left="0"/>
        <w:rPr>
          <w:rFonts w:hint="eastAsia" w:ascii="宋体" w:hAnsi="宋体" w:eastAsia="宋体" w:cs="宋体"/>
          <w:spacing w:val="9"/>
          <w:sz w:val="21"/>
          <w:szCs w:val="21"/>
        </w:rPr>
      </w:pPr>
    </w:p>
    <w:p w14:paraId="6744C41B">
      <w:pPr>
        <w:adjustRightInd w:val="0"/>
        <w:snapToGrid w:val="0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szCs w:val="21"/>
        </w:rPr>
        <w:t>、</w:t>
      </w:r>
      <w:bookmarkStart w:id="0" w:name="OLE_LINK1"/>
      <w:r>
        <w:rPr>
          <w:rFonts w:hint="eastAsia" w:ascii="宋体" w:hAnsi="宋体" w:eastAsia="宋体" w:cs="宋体"/>
          <w:b w:val="0"/>
          <w:bCs/>
          <w:szCs w:val="21"/>
        </w:rPr>
        <w:t>经验/预期赔付率调整系数</w:t>
      </w:r>
      <w:bookmarkEnd w:id="0"/>
      <w:r>
        <w:rPr>
          <w:rFonts w:hint="eastAsia" w:ascii="宋体" w:hAnsi="宋体" w:eastAsia="宋体" w:cs="宋体"/>
          <w:b w:val="0"/>
          <w:bCs/>
          <w:szCs w:val="21"/>
        </w:rPr>
        <w:t>（F</w:t>
      </w: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szCs w:val="21"/>
        </w:rPr>
        <w:t>）</w:t>
      </w:r>
    </w:p>
    <w:tbl>
      <w:tblPr>
        <w:tblStyle w:val="4"/>
        <w:tblW w:w="494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3"/>
        <w:gridCol w:w="1875"/>
      </w:tblGrid>
      <w:tr w14:paraId="685DD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A6E5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  <w:lang w:bidi="ar"/>
              </w:rPr>
              <w:t>经验/预期赔付率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8BD4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  <w:lang w:bidi="ar"/>
              </w:rPr>
              <w:t>调整系数</w:t>
            </w:r>
          </w:p>
        </w:tc>
      </w:tr>
      <w:tr w14:paraId="7F7D4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DD1C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  <w:lang w:bidi="ar"/>
              </w:rPr>
              <w:t>0%-65%（含）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9516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  <w:lang w:bidi="ar"/>
              </w:rPr>
              <w:t>[0.7,1.0]</w:t>
            </w:r>
          </w:p>
        </w:tc>
      </w:tr>
      <w:tr w14:paraId="2DCF4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CA73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  <w:lang w:bidi="ar"/>
              </w:rPr>
              <w:t>65%（不含）以上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D855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Cs w:val="21"/>
                <w:lang w:bidi="ar"/>
              </w:rPr>
              <w:t>(1.0,1.3]</w:t>
            </w:r>
          </w:p>
        </w:tc>
      </w:tr>
    </w:tbl>
    <w:p w14:paraId="3E2923D7">
      <w:pPr>
        <w:spacing w:line="240" w:lineRule="auto"/>
        <w:rPr>
          <w:rFonts w:hint="eastAsia" w:ascii="宋体" w:hAnsi="宋体" w:eastAsia="宋体" w:cs="宋体"/>
          <w:sz w:val="21"/>
        </w:rPr>
      </w:pPr>
    </w:p>
    <w:p w14:paraId="4A1CB832">
      <w:pPr>
        <w:pStyle w:val="3"/>
        <w:spacing w:before="0" w:line="240" w:lineRule="auto"/>
        <w:ind w:left="0"/>
        <w:outlineLvl w:val="1"/>
        <w:rPr>
          <w:rFonts w:hint="eastAsia" w:ascii="宋体" w:hAnsi="宋体" w:eastAsia="宋体" w:cs="宋体"/>
          <w:b/>
          <w:bCs/>
          <w:spacing w:val="7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1"/>
          <w:szCs w:val="21"/>
        </w:rPr>
        <w:t>三、保险费计算</w:t>
      </w:r>
      <w:r>
        <w:rPr>
          <w:rFonts w:hint="eastAsia" w:ascii="宋体" w:hAnsi="宋体" w:eastAsia="宋体" w:cs="宋体"/>
          <w:b/>
          <w:bCs/>
          <w:spacing w:val="7"/>
          <w:sz w:val="21"/>
          <w:szCs w:val="21"/>
          <w:lang w:val="en-US" w:eastAsia="zh-CN"/>
        </w:rPr>
        <w:t>公式</w:t>
      </w:r>
    </w:p>
    <w:p w14:paraId="536F3B65">
      <w:pPr>
        <w:pStyle w:val="3"/>
        <w:spacing w:before="0" w:line="240" w:lineRule="auto"/>
        <w:ind w:left="0"/>
        <w:jc w:val="right"/>
        <w:outlineLvl w:val="1"/>
        <w:rPr>
          <w:rFonts w:hint="eastAsia" w:ascii="宋体" w:hAnsi="宋体" w:eastAsia="宋体" w:cs="宋体"/>
          <w:b/>
          <w:bCs/>
          <w:spacing w:val="7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7"/>
          <w:sz w:val="21"/>
          <w:szCs w:val="21"/>
          <w:lang w:val="en-US" w:eastAsia="zh-CN"/>
        </w:rPr>
        <w:t>单位：元</w:t>
      </w:r>
    </w:p>
    <w:p w14:paraId="5FC33E66">
      <w:pPr>
        <w:pStyle w:val="3"/>
        <w:spacing w:before="0" w:line="240" w:lineRule="auto"/>
        <w:ind w:left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9"/>
          <w:sz w:val="21"/>
          <w:szCs w:val="21"/>
        </w:rPr>
        <w:t>保险费=保险金额×基准费率×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F1</w:t>
      </w:r>
      <w:r>
        <w:rPr>
          <w:rFonts w:hint="eastAsia" w:ascii="宋体" w:hAnsi="宋体" w:eastAsia="宋体" w:cs="宋体"/>
          <w:spacing w:val="9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F2</w:t>
      </w:r>
      <w:r>
        <w:rPr>
          <w:rFonts w:hint="eastAsia" w:ascii="宋体" w:hAnsi="宋体" w:eastAsia="宋体" w:cs="宋体"/>
          <w:spacing w:val="9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F3</w:t>
      </w:r>
      <w:r>
        <w:rPr>
          <w:rFonts w:hint="eastAsia" w:ascii="宋体" w:hAnsi="宋体" w:eastAsia="宋体" w:cs="宋体"/>
          <w:spacing w:val="9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F4</w:t>
      </w:r>
      <w:r>
        <w:rPr>
          <w:rFonts w:hint="eastAsia" w:ascii="宋体" w:hAnsi="宋体" w:eastAsia="宋体" w:cs="宋体"/>
          <w:spacing w:val="9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F5</w:t>
      </w:r>
    </w:p>
    <w:p w14:paraId="0157441F">
      <w:pPr>
        <w:spacing w:line="240" w:lineRule="auto"/>
        <w:rPr>
          <w:rFonts w:hint="eastAsia" w:ascii="宋体" w:hAnsi="宋体" w:eastAsia="宋体" w:cs="宋体"/>
          <w:sz w:val="21"/>
        </w:rPr>
      </w:pPr>
    </w:p>
    <w:p w14:paraId="6746746F">
      <w:pPr>
        <w:pStyle w:val="3"/>
        <w:spacing w:before="0" w:line="240" w:lineRule="auto"/>
        <w:ind w:left="0"/>
        <w:outlineLvl w:val="1"/>
        <w:rPr>
          <w:rFonts w:hint="eastAsia" w:ascii="宋体" w:hAnsi="宋体" w:eastAsia="宋体" w:cs="宋体"/>
          <w:b/>
          <w:bCs/>
          <w:spacing w:val="4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4"/>
          <w:sz w:val="21"/>
          <w:szCs w:val="21"/>
        </w:rPr>
        <w:t>四、短期费率表</w:t>
      </w:r>
    </w:p>
    <w:p w14:paraId="4B612B6D">
      <w:pPr>
        <w:pStyle w:val="3"/>
        <w:spacing w:before="0" w:line="240" w:lineRule="auto"/>
        <w:ind w:left="0"/>
        <w:outlineLvl w:val="1"/>
        <w:rPr>
          <w:rFonts w:hint="eastAsia" w:ascii="宋体" w:hAnsi="宋体" w:eastAsia="宋体" w:cs="宋体"/>
          <w:b w:val="0"/>
          <w:bCs w:val="0"/>
          <w:spacing w:val="4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21"/>
          <w:szCs w:val="21"/>
          <w:lang w:val="en-US" w:eastAsia="zh-CN"/>
        </w:rPr>
        <w:t>1、保险期间超过1个月但不足1年的：</w:t>
      </w:r>
    </w:p>
    <w:tbl>
      <w:tblPr>
        <w:tblStyle w:val="6"/>
        <w:tblW w:w="5000" w:type="pct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3"/>
        <w:gridCol w:w="600"/>
        <w:gridCol w:w="534"/>
        <w:gridCol w:w="541"/>
        <w:gridCol w:w="541"/>
        <w:gridCol w:w="541"/>
        <w:gridCol w:w="541"/>
        <w:gridCol w:w="541"/>
        <w:gridCol w:w="541"/>
        <w:gridCol w:w="541"/>
        <w:gridCol w:w="541"/>
        <w:gridCol w:w="642"/>
        <w:gridCol w:w="571"/>
      </w:tblGrid>
      <w:tr w14:paraId="09CF5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61" w:type="dxa"/>
            <w:vAlign w:val="center"/>
          </w:tcPr>
          <w:p w14:paraId="4539FDB3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保险期间</w:t>
            </w:r>
          </w:p>
          <w:p w14:paraId="257A09D6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（个月）</w:t>
            </w:r>
          </w:p>
        </w:tc>
        <w:tc>
          <w:tcPr>
            <w:tcW w:w="600" w:type="dxa"/>
            <w:vAlign w:val="center"/>
          </w:tcPr>
          <w:p w14:paraId="2BC0910A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1</w:t>
            </w:r>
          </w:p>
        </w:tc>
        <w:tc>
          <w:tcPr>
            <w:tcW w:w="534" w:type="dxa"/>
            <w:vAlign w:val="center"/>
          </w:tcPr>
          <w:p w14:paraId="63CBDAB3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14:paraId="385D57C4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14:paraId="18AE4303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14:paraId="4A942DBD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5</w:t>
            </w:r>
          </w:p>
        </w:tc>
        <w:tc>
          <w:tcPr>
            <w:tcW w:w="540" w:type="dxa"/>
            <w:vAlign w:val="center"/>
          </w:tcPr>
          <w:p w14:paraId="79149CBF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14:paraId="39A68182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 w14:paraId="33B25351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8</w:t>
            </w:r>
          </w:p>
        </w:tc>
        <w:tc>
          <w:tcPr>
            <w:tcW w:w="540" w:type="dxa"/>
            <w:vAlign w:val="center"/>
          </w:tcPr>
          <w:p w14:paraId="41744175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14:paraId="361EB197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10</w:t>
            </w:r>
          </w:p>
        </w:tc>
        <w:tc>
          <w:tcPr>
            <w:tcW w:w="641" w:type="dxa"/>
            <w:vAlign w:val="center"/>
          </w:tcPr>
          <w:p w14:paraId="534A8C68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14:paraId="0D993892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12</w:t>
            </w:r>
          </w:p>
        </w:tc>
      </w:tr>
      <w:tr w14:paraId="0415FC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861" w:type="dxa"/>
            <w:vAlign w:val="center"/>
          </w:tcPr>
          <w:p w14:paraId="09F8A84D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年保险费的百分比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（%）</w:t>
            </w:r>
          </w:p>
        </w:tc>
        <w:tc>
          <w:tcPr>
            <w:tcW w:w="600" w:type="dxa"/>
            <w:vAlign w:val="center"/>
          </w:tcPr>
          <w:p w14:paraId="569BD805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10</w:t>
            </w:r>
          </w:p>
        </w:tc>
        <w:tc>
          <w:tcPr>
            <w:tcW w:w="534" w:type="dxa"/>
            <w:vAlign w:val="center"/>
          </w:tcPr>
          <w:p w14:paraId="67799518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1"/>
                <w:szCs w:val="21"/>
              </w:rPr>
              <w:t>20</w:t>
            </w:r>
          </w:p>
        </w:tc>
        <w:tc>
          <w:tcPr>
            <w:tcW w:w="540" w:type="dxa"/>
            <w:vAlign w:val="center"/>
          </w:tcPr>
          <w:p w14:paraId="462503B7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</w:rPr>
              <w:t>30</w:t>
            </w:r>
          </w:p>
        </w:tc>
        <w:tc>
          <w:tcPr>
            <w:tcW w:w="540" w:type="dxa"/>
            <w:vAlign w:val="center"/>
          </w:tcPr>
          <w:p w14:paraId="75D93367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1"/>
                <w:szCs w:val="21"/>
              </w:rPr>
              <w:t>40</w:t>
            </w:r>
          </w:p>
        </w:tc>
        <w:tc>
          <w:tcPr>
            <w:tcW w:w="540" w:type="dxa"/>
            <w:vAlign w:val="center"/>
          </w:tcPr>
          <w:p w14:paraId="7D271E99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</w:rPr>
              <w:t>50</w:t>
            </w:r>
          </w:p>
        </w:tc>
        <w:tc>
          <w:tcPr>
            <w:tcW w:w="540" w:type="dxa"/>
            <w:vAlign w:val="center"/>
          </w:tcPr>
          <w:p w14:paraId="77A8F1A0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60</w:t>
            </w:r>
          </w:p>
        </w:tc>
        <w:tc>
          <w:tcPr>
            <w:tcW w:w="540" w:type="dxa"/>
            <w:vAlign w:val="center"/>
          </w:tcPr>
          <w:p w14:paraId="4A09339E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</w:rPr>
              <w:t>70</w:t>
            </w:r>
          </w:p>
        </w:tc>
        <w:tc>
          <w:tcPr>
            <w:tcW w:w="540" w:type="dxa"/>
            <w:vAlign w:val="center"/>
          </w:tcPr>
          <w:p w14:paraId="00D18E61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80</w:t>
            </w:r>
          </w:p>
        </w:tc>
        <w:tc>
          <w:tcPr>
            <w:tcW w:w="540" w:type="dxa"/>
            <w:vAlign w:val="center"/>
          </w:tcPr>
          <w:p w14:paraId="79F9D76E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85</w:t>
            </w:r>
          </w:p>
        </w:tc>
        <w:tc>
          <w:tcPr>
            <w:tcW w:w="540" w:type="dxa"/>
            <w:vAlign w:val="center"/>
          </w:tcPr>
          <w:p w14:paraId="4708BAA3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90</w:t>
            </w:r>
          </w:p>
        </w:tc>
        <w:tc>
          <w:tcPr>
            <w:tcW w:w="641" w:type="dxa"/>
            <w:vAlign w:val="center"/>
          </w:tcPr>
          <w:p w14:paraId="570C87AC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95</w:t>
            </w:r>
          </w:p>
        </w:tc>
        <w:tc>
          <w:tcPr>
            <w:tcW w:w="570" w:type="dxa"/>
            <w:vAlign w:val="center"/>
          </w:tcPr>
          <w:p w14:paraId="282195F1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</w:rPr>
              <w:t>100</w:t>
            </w:r>
          </w:p>
        </w:tc>
      </w:tr>
    </w:tbl>
    <w:p w14:paraId="006C6546">
      <w:pPr>
        <w:pStyle w:val="3"/>
        <w:spacing w:before="0" w:line="240" w:lineRule="auto"/>
        <w:ind w:left="0" w:right="0" w:firstLine="0"/>
        <w:rPr>
          <w:rFonts w:hint="eastAsia" w:ascii="宋体" w:hAnsi="宋体" w:eastAsia="宋体" w:cs="宋体"/>
          <w:spacing w:val="6"/>
          <w:sz w:val="21"/>
          <w:szCs w:val="21"/>
        </w:rPr>
      </w:pPr>
      <w:r>
        <w:rPr>
          <w:rFonts w:hint="eastAsia" w:ascii="宋体" w:hAnsi="宋体" w:eastAsia="宋体" w:cs="宋体"/>
          <w:spacing w:val="5"/>
          <w:sz w:val="21"/>
          <w:szCs w:val="21"/>
        </w:rPr>
        <w:t>注：保险</w:t>
      </w:r>
      <w:r>
        <w:rPr>
          <w:rFonts w:hint="eastAsia" w:ascii="宋体" w:hAnsi="宋体" w:eastAsia="宋体" w:cs="宋体"/>
          <w:spacing w:val="4"/>
          <w:sz w:val="21"/>
          <w:szCs w:val="21"/>
        </w:rPr>
        <w:t>期间在</w:t>
      </w:r>
      <w:r>
        <w:rPr>
          <w:rFonts w:hint="eastAsia" w:ascii="宋体" w:hAnsi="宋体" w:eastAsia="宋体" w:cs="宋体"/>
          <w:spacing w:val="-2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1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个月以上，不足</w:t>
      </w:r>
      <w:r>
        <w:rPr>
          <w:rFonts w:hint="eastAsia"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个月的，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按</w:t>
      </w:r>
      <w:r>
        <w:rPr>
          <w:rFonts w:hint="eastAsia"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个月计算；保险期间在</w:t>
      </w:r>
      <w:r>
        <w:rPr>
          <w:rFonts w:hint="eastAsia" w:ascii="宋体" w:hAnsi="宋体" w:eastAsia="宋体" w:cs="宋体"/>
          <w:spacing w:val="-3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个月以上，不足</w:t>
      </w:r>
      <w:r>
        <w:rPr>
          <w:rFonts w:hint="eastAsia"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3</w:t>
      </w:r>
      <w:r>
        <w:rPr>
          <w:rFonts w:hint="eastAsia"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个月的，按</w:t>
      </w:r>
      <w:r>
        <w:rPr>
          <w:rFonts w:hint="eastAsia"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3</w:t>
      </w:r>
      <w:r>
        <w:rPr>
          <w:rFonts w:hint="eastAsia"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个月计算，依此类推。</w:t>
      </w:r>
    </w:p>
    <w:p w14:paraId="1FD9C01E">
      <w:pPr>
        <w:pStyle w:val="3"/>
        <w:spacing w:before="0" w:line="240" w:lineRule="auto"/>
        <w:ind w:left="0" w:right="0" w:firstLine="0"/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2、保险期间不足1个月的：</w:t>
      </w:r>
    </w:p>
    <w:tbl>
      <w:tblPr>
        <w:tblStyle w:val="6"/>
        <w:tblW w:w="5003" w:type="pct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467"/>
        <w:gridCol w:w="696"/>
        <w:gridCol w:w="760"/>
        <w:gridCol w:w="990"/>
        <w:gridCol w:w="950"/>
        <w:gridCol w:w="910"/>
        <w:gridCol w:w="688"/>
        <w:gridCol w:w="630"/>
        <w:gridCol w:w="922"/>
      </w:tblGrid>
      <w:tr w14:paraId="508B5B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529" w:type="dxa"/>
            <w:vAlign w:val="center"/>
          </w:tcPr>
          <w:p w14:paraId="6A3B2E6A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保险期间（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日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）</w:t>
            </w:r>
          </w:p>
        </w:tc>
        <w:tc>
          <w:tcPr>
            <w:tcW w:w="467" w:type="dxa"/>
            <w:vAlign w:val="center"/>
          </w:tcPr>
          <w:p w14:paraId="367A2775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1</w:t>
            </w:r>
          </w:p>
        </w:tc>
        <w:tc>
          <w:tcPr>
            <w:tcW w:w="696" w:type="dxa"/>
            <w:vAlign w:val="center"/>
          </w:tcPr>
          <w:p w14:paraId="5048B89C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-3</w:t>
            </w:r>
          </w:p>
        </w:tc>
        <w:tc>
          <w:tcPr>
            <w:tcW w:w="760" w:type="dxa"/>
            <w:vAlign w:val="center"/>
          </w:tcPr>
          <w:p w14:paraId="1E33D16F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4-5</w:t>
            </w:r>
          </w:p>
        </w:tc>
        <w:tc>
          <w:tcPr>
            <w:tcW w:w="989" w:type="dxa"/>
            <w:vAlign w:val="center"/>
          </w:tcPr>
          <w:p w14:paraId="5D3FB0E1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949" w:type="dxa"/>
            <w:vAlign w:val="center"/>
          </w:tcPr>
          <w:p w14:paraId="73C49495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8-10</w:t>
            </w:r>
          </w:p>
        </w:tc>
        <w:tc>
          <w:tcPr>
            <w:tcW w:w="909" w:type="dxa"/>
            <w:vAlign w:val="center"/>
          </w:tcPr>
          <w:p w14:paraId="1CE1DE8F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11-15</w:t>
            </w:r>
          </w:p>
        </w:tc>
        <w:tc>
          <w:tcPr>
            <w:tcW w:w="688" w:type="dxa"/>
            <w:vAlign w:val="center"/>
          </w:tcPr>
          <w:p w14:paraId="0BC0FB39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16-20</w:t>
            </w:r>
          </w:p>
        </w:tc>
        <w:tc>
          <w:tcPr>
            <w:tcW w:w="630" w:type="dxa"/>
            <w:vAlign w:val="center"/>
          </w:tcPr>
          <w:p w14:paraId="0FBE7483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21-25</w:t>
            </w:r>
          </w:p>
        </w:tc>
        <w:tc>
          <w:tcPr>
            <w:tcW w:w="921" w:type="dxa"/>
            <w:vAlign w:val="center"/>
          </w:tcPr>
          <w:p w14:paraId="64FC5C18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26-1个月</w:t>
            </w:r>
          </w:p>
        </w:tc>
      </w:tr>
      <w:tr w14:paraId="28C4C9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529" w:type="dxa"/>
            <w:vAlign w:val="center"/>
          </w:tcPr>
          <w:p w14:paraId="7FCC1A73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1个月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保险费的百分比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（%）</w:t>
            </w:r>
          </w:p>
        </w:tc>
        <w:tc>
          <w:tcPr>
            <w:tcW w:w="467" w:type="dxa"/>
            <w:vAlign w:val="center"/>
          </w:tcPr>
          <w:p w14:paraId="3929E751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10</w:t>
            </w:r>
          </w:p>
        </w:tc>
        <w:tc>
          <w:tcPr>
            <w:tcW w:w="696" w:type="dxa"/>
            <w:vAlign w:val="center"/>
          </w:tcPr>
          <w:p w14:paraId="1A25D6CF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1"/>
                <w:szCs w:val="21"/>
                <w:lang w:val="en-US" w:eastAsia="zh-CN"/>
              </w:rPr>
              <w:t>15-20</w:t>
            </w:r>
          </w:p>
        </w:tc>
        <w:tc>
          <w:tcPr>
            <w:tcW w:w="760" w:type="dxa"/>
            <w:vAlign w:val="center"/>
          </w:tcPr>
          <w:p w14:paraId="53F128EA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  <w:lang w:val="en-US" w:eastAsia="zh-CN"/>
              </w:rPr>
              <w:t>25-30</w:t>
            </w:r>
          </w:p>
        </w:tc>
        <w:tc>
          <w:tcPr>
            <w:tcW w:w="989" w:type="dxa"/>
            <w:vAlign w:val="center"/>
          </w:tcPr>
          <w:p w14:paraId="34D80584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  <w:lang w:val="en-US" w:eastAsia="zh-CN"/>
              </w:rPr>
              <w:t>35-40</w:t>
            </w:r>
          </w:p>
        </w:tc>
        <w:tc>
          <w:tcPr>
            <w:tcW w:w="949" w:type="dxa"/>
            <w:vAlign w:val="center"/>
          </w:tcPr>
          <w:p w14:paraId="04512E1C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45-50</w:t>
            </w:r>
          </w:p>
        </w:tc>
        <w:tc>
          <w:tcPr>
            <w:tcW w:w="909" w:type="dxa"/>
            <w:vAlign w:val="center"/>
          </w:tcPr>
          <w:p w14:paraId="5D2A4CE1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60-65</w:t>
            </w:r>
          </w:p>
        </w:tc>
        <w:tc>
          <w:tcPr>
            <w:tcW w:w="688" w:type="dxa"/>
            <w:vAlign w:val="center"/>
          </w:tcPr>
          <w:p w14:paraId="27EDDAAB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75-80</w:t>
            </w:r>
          </w:p>
        </w:tc>
        <w:tc>
          <w:tcPr>
            <w:tcW w:w="630" w:type="dxa"/>
            <w:vAlign w:val="center"/>
          </w:tcPr>
          <w:p w14:paraId="2DD05285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val="en-US" w:eastAsia="zh-CN"/>
              </w:rPr>
              <w:t>85-90</w:t>
            </w:r>
          </w:p>
        </w:tc>
        <w:tc>
          <w:tcPr>
            <w:tcW w:w="921" w:type="dxa"/>
            <w:vAlign w:val="center"/>
          </w:tcPr>
          <w:p w14:paraId="25D3D33A">
            <w:pPr>
              <w:pStyle w:val="7"/>
              <w:autoSpaceDE/>
              <w:autoSpaceDN/>
              <w:spacing w:before="0" w:line="240" w:lineRule="auto"/>
              <w:ind w:left="0"/>
              <w:jc w:val="center"/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val="en-US" w:eastAsia="zh-CN"/>
              </w:rPr>
              <w:t>95-100</w:t>
            </w:r>
          </w:p>
        </w:tc>
      </w:tr>
    </w:tbl>
    <w:p w14:paraId="5BDE86D0">
      <w:pPr>
        <w:pStyle w:val="3"/>
        <w:spacing w:before="52" w:line="289" w:lineRule="auto"/>
        <w:ind w:left="122" w:right="72" w:firstLine="418"/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</w:pPr>
    </w:p>
    <w:sectPr>
      <w:footerReference r:id="rId5" w:type="default"/>
      <w:pgSz w:w="11906" w:h="16839"/>
      <w:pgMar w:top="1431" w:right="1687" w:bottom="1432" w:left="1687" w:header="0" w:footer="119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22B03">
    <w:pPr>
      <w:spacing w:line="232" w:lineRule="auto"/>
      <w:ind w:left="4138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RlODNhZmI4YWY4ZmYzMmUwNTU4NzQ2MTJhZGM5MGYifQ=="/>
  </w:docVars>
  <w:rsids>
    <w:rsidRoot w:val="00000000"/>
    <w:rsid w:val="12C44DB1"/>
    <w:rsid w:val="1D4828E2"/>
    <w:rsid w:val="1EF859B2"/>
    <w:rsid w:val="272719DC"/>
    <w:rsid w:val="2B2C5894"/>
    <w:rsid w:val="39075238"/>
    <w:rsid w:val="395F7F25"/>
    <w:rsid w:val="3D9F38E8"/>
    <w:rsid w:val="46573DC7"/>
    <w:rsid w:val="73FE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583</Words>
  <Characters>793</Characters>
  <TotalTime>6</TotalTime>
  <ScaleCrop>false</ScaleCrop>
  <LinksUpToDate>false</LinksUpToDate>
  <CharactersWithSpaces>805</CharactersWithSpaces>
  <Application>WPS Office_12.1.0.17133_F1E327BC-269C-435d-A152-05C5408002CA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2025-08-05T10:31:00Z</dcterms:created>
  <dc:creator>0000</dc:creator>
  <cp:lastModifiedBy>刘晴</cp:lastModifiedBy>
  <dcterms:modified xsi:type="dcterms:W3CDTF">2026-07-07T01:36:18Z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2026-05-26T09:25:58Z</vt:filetime>
  </property>
  <property fmtid="{D5CDD505-2E9C-101B-9397-08002B2CF9AE}" pid="4" name="KSOTemplateDocerSaveRecord">
    <vt:lpwstr>eyJoZGlkIjoiYWMyZjkxYWVjZTAzZTUwOTE2ZTM4OWM5MDE0NzczNTIiLCJ1c2VySWQiOiIxNzEyNjY2NzU0In0=</vt:lpwstr>
  </property>
  <property fmtid="{D5CDD505-2E9C-101B-9397-08002B2CF9AE}" pid="5" name="KSOProductBuildVer">
    <vt:lpwstr>2052-12.1.0.17133</vt:lpwstr>
  </property>
  <property fmtid="{D5CDD505-2E9C-101B-9397-08002B2CF9AE}" pid="6" name="ICV">
    <vt:lpwstr>84F3612894B942B58D7394707D1344E8_12</vt:lpwstr>
  </property>
</Properties>
</file>