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720063">
      <w:pPr>
        <w:keepNext w:val="0"/>
        <w:keepLines w:val="0"/>
        <w:pageBreakBefore w:val="0"/>
        <w:kinsoku/>
        <w:wordWrap/>
        <w:overflowPunct/>
        <w:topLinePunct w:val="0"/>
        <w:autoSpaceDE/>
        <w:autoSpaceDN/>
        <w:bidi w:val="0"/>
        <w:spacing w:line="240" w:lineRule="auto"/>
        <w:jc w:val="center"/>
        <w:rPr>
          <w:rFonts w:hint="eastAsia" w:ascii="宋体" w:hAnsi="宋体" w:cs="宋体"/>
          <w:b/>
          <w:bCs/>
          <w:sz w:val="28"/>
          <w:szCs w:val="28"/>
        </w:rPr>
      </w:pPr>
      <w:r>
        <w:rPr>
          <w:rFonts w:hint="eastAsia" w:ascii="宋体" w:hAnsi="宋体" w:cs="宋体"/>
          <w:b/>
          <w:bCs/>
          <w:sz w:val="28"/>
          <w:szCs w:val="28"/>
        </w:rPr>
        <w:t>华农财产保险股份有限公司民用管道燃气保险</w:t>
      </w:r>
    </w:p>
    <w:p w14:paraId="310FA954">
      <w:pPr>
        <w:keepNext w:val="0"/>
        <w:keepLines w:val="0"/>
        <w:pageBreakBefore w:val="0"/>
        <w:kinsoku/>
        <w:wordWrap/>
        <w:overflowPunct/>
        <w:topLinePunct w:val="0"/>
        <w:autoSpaceDE/>
        <w:autoSpaceDN/>
        <w:bidi w:val="0"/>
        <w:spacing w:line="240" w:lineRule="auto"/>
        <w:jc w:val="center"/>
        <w:rPr>
          <w:rFonts w:hint="eastAsia" w:ascii="宋体" w:hAnsi="宋体" w:cs="宋体"/>
          <w:b/>
          <w:bCs/>
          <w:sz w:val="28"/>
          <w:szCs w:val="28"/>
          <w:lang w:val="en-US" w:eastAsia="zh-CN"/>
        </w:rPr>
      </w:pPr>
      <w:r>
        <w:rPr>
          <w:rFonts w:hint="eastAsia" w:ascii="宋体" w:hAnsi="宋体" w:cs="宋体"/>
          <w:b/>
          <w:bCs/>
          <w:sz w:val="28"/>
          <w:szCs w:val="28"/>
        </w:rPr>
        <w:t>附加燃气用户意外伤害保险费率</w:t>
      </w:r>
      <w:r>
        <w:rPr>
          <w:rFonts w:hint="eastAsia" w:ascii="宋体" w:hAnsi="宋体" w:cs="宋体"/>
          <w:b/>
          <w:bCs/>
          <w:sz w:val="28"/>
          <w:szCs w:val="28"/>
          <w:lang w:val="en-US" w:eastAsia="zh-CN"/>
        </w:rPr>
        <w:t>表</w:t>
      </w:r>
    </w:p>
    <w:p w14:paraId="6BF7152D">
      <w:pPr>
        <w:keepNext w:val="0"/>
        <w:keepLines w:val="0"/>
        <w:pageBreakBefore w:val="0"/>
        <w:kinsoku/>
        <w:wordWrap/>
        <w:overflowPunct/>
        <w:topLinePunct w:val="0"/>
        <w:autoSpaceDE/>
        <w:autoSpaceDN/>
        <w:bidi w:val="0"/>
        <w:spacing w:line="240" w:lineRule="auto"/>
        <w:jc w:val="center"/>
        <w:rPr>
          <w:rFonts w:hint="eastAsia" w:ascii="宋体" w:hAnsi="宋体" w:cs="宋体"/>
          <w:b/>
          <w:bCs/>
          <w:sz w:val="28"/>
          <w:szCs w:val="28"/>
          <w:lang w:val="en-US" w:eastAsia="zh-CN"/>
        </w:rPr>
      </w:pPr>
    </w:p>
    <w:p w14:paraId="69D9B773">
      <w:pPr>
        <w:keepNext w:val="0"/>
        <w:keepLines w:val="0"/>
        <w:pageBreakBefore w:val="0"/>
        <w:numPr>
          <w:ilvl w:val="0"/>
          <w:numId w:val="0"/>
        </w:numPr>
        <w:kinsoku/>
        <w:wordWrap/>
        <w:overflowPunct/>
        <w:topLinePunct w:val="0"/>
        <w:autoSpaceDE/>
        <w:autoSpaceDN/>
        <w:bidi w:val="0"/>
        <w:spacing w:line="240" w:lineRule="auto"/>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一、</w:t>
      </w:r>
      <w:r>
        <w:rPr>
          <w:rFonts w:hint="eastAsia" w:ascii="宋体" w:hAnsi="宋体" w:eastAsia="宋体" w:cs="宋体"/>
          <w:b/>
          <w:sz w:val="21"/>
          <w:szCs w:val="21"/>
        </w:rPr>
        <w:t>基准费率</w:t>
      </w:r>
    </w:p>
    <w:p w14:paraId="6A813CDC">
      <w:pPr>
        <w:keepNext w:val="0"/>
        <w:keepLines w:val="0"/>
        <w:pageBreakBefore w:val="0"/>
        <w:numPr>
          <w:ilvl w:val="0"/>
          <w:numId w:val="0"/>
        </w:numPr>
        <w:kinsoku/>
        <w:wordWrap/>
        <w:overflowPunct/>
        <w:topLinePunct w:val="0"/>
        <w:autoSpaceDE/>
        <w:autoSpaceDN/>
        <w:bidi w:val="0"/>
        <w:adjustRightInd w:val="0"/>
        <w:snapToGrid w:val="0"/>
        <w:spacing w:after="0" w:line="24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（一）意外伤害保险金（必选责任）：0.1‰</w:t>
      </w:r>
    </w:p>
    <w:p w14:paraId="064148C4">
      <w:pPr>
        <w:keepNext w:val="0"/>
        <w:keepLines w:val="0"/>
        <w:pageBreakBefore w:val="0"/>
        <w:numPr>
          <w:ilvl w:val="0"/>
          <w:numId w:val="0"/>
        </w:numPr>
        <w:kinsoku/>
        <w:wordWrap/>
        <w:overflowPunct/>
        <w:topLinePunct w:val="0"/>
        <w:autoSpaceDE/>
        <w:autoSpaceDN/>
        <w:bidi w:val="0"/>
        <w:adjustRightInd w:val="0"/>
        <w:snapToGrid w:val="0"/>
        <w:spacing w:after="0" w:line="24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（二）意外伤害医疗保险金（可选责任）：</w:t>
      </w:r>
    </w:p>
    <w:p w14:paraId="75F93836">
      <w:pPr>
        <w:keepNext w:val="0"/>
        <w:keepLines w:val="0"/>
        <w:pageBreakBefore w:val="0"/>
        <w:numPr>
          <w:ilvl w:val="0"/>
          <w:numId w:val="0"/>
        </w:numPr>
        <w:kinsoku/>
        <w:wordWrap/>
        <w:overflowPunct/>
        <w:topLinePunct w:val="0"/>
        <w:autoSpaceDE/>
        <w:autoSpaceDN/>
        <w:bidi w:val="0"/>
        <w:adjustRightInd w:val="0"/>
        <w:snapToGrid w:val="0"/>
        <w:spacing w:after="0" w:line="24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kern w:val="2"/>
          <w:sz w:val="21"/>
          <w:szCs w:val="21"/>
          <w:lang w:val="en-US" w:eastAsia="zh-CN" w:bidi="ar-SA"/>
        </w:rPr>
        <w:t>1、基准</w:t>
      </w:r>
      <w:r>
        <w:rPr>
          <w:rFonts w:hint="eastAsia" w:ascii="宋体" w:hAnsi="宋体" w:eastAsia="宋体" w:cs="宋体"/>
          <w:b w:val="0"/>
          <w:bCs w:val="0"/>
          <w:sz w:val="21"/>
          <w:szCs w:val="21"/>
          <w:lang w:val="en-US" w:eastAsia="zh-CN"/>
        </w:rPr>
        <w:t>免赔额：100元</w:t>
      </w:r>
    </w:p>
    <w:p w14:paraId="1B1C8523">
      <w:pPr>
        <w:keepNext w:val="0"/>
        <w:keepLines w:val="0"/>
        <w:pageBreakBefore w:val="0"/>
        <w:numPr>
          <w:ilvl w:val="0"/>
          <w:numId w:val="0"/>
        </w:numPr>
        <w:kinsoku/>
        <w:wordWrap/>
        <w:overflowPunct/>
        <w:topLinePunct w:val="0"/>
        <w:autoSpaceDE/>
        <w:autoSpaceDN/>
        <w:bidi w:val="0"/>
        <w:adjustRightInd w:val="0"/>
        <w:snapToGrid w:val="0"/>
        <w:spacing w:after="0" w:line="24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kern w:val="2"/>
          <w:sz w:val="21"/>
          <w:szCs w:val="21"/>
          <w:lang w:val="en-US" w:eastAsia="zh-CN" w:bidi="ar-SA"/>
        </w:rPr>
        <w:t>2、基准</w:t>
      </w:r>
      <w:r>
        <w:rPr>
          <w:rFonts w:hint="eastAsia" w:ascii="宋体" w:hAnsi="宋体" w:eastAsia="宋体" w:cs="宋体"/>
          <w:b w:val="0"/>
          <w:bCs w:val="0"/>
          <w:sz w:val="21"/>
          <w:szCs w:val="21"/>
          <w:lang w:val="en-US" w:eastAsia="zh-CN"/>
        </w:rPr>
        <w:t>赔付比例：</w:t>
      </w:r>
    </w:p>
    <w:p w14:paraId="7A94CA94">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bookmarkStart w:id="0" w:name="OLE_LINK30"/>
      <w:r>
        <w:rPr>
          <w:rFonts w:hint="eastAsia" w:ascii="宋体" w:hAnsi="宋体" w:eastAsia="宋体" w:cs="宋体"/>
          <w:b w:val="0"/>
          <w:bCs w:val="0"/>
          <w:sz w:val="21"/>
          <w:szCs w:val="21"/>
          <w:lang w:val="en-US" w:eastAsia="zh-CN"/>
        </w:rPr>
        <w:t>（1）</w:t>
      </w:r>
      <w:bookmarkStart w:id="1" w:name="OLE_LINK31"/>
      <w:bookmarkStart w:id="2" w:name="OLE_LINK32"/>
      <w:r>
        <w:rPr>
          <w:rFonts w:hint="eastAsia" w:ascii="宋体" w:hAnsi="宋体" w:eastAsia="宋体" w:cs="宋体"/>
          <w:i w:val="0"/>
          <w:iCs w:val="0"/>
          <w:color w:val="000000"/>
          <w:kern w:val="0"/>
          <w:sz w:val="21"/>
          <w:szCs w:val="21"/>
          <w:u w:val="none"/>
          <w:lang w:val="en-US" w:eastAsia="zh-CN" w:bidi="ar"/>
        </w:rPr>
        <w:t>被</w:t>
      </w:r>
      <w:bookmarkEnd w:id="1"/>
      <w:r>
        <w:rPr>
          <w:rFonts w:hint="eastAsia" w:ascii="宋体" w:hAnsi="宋体" w:eastAsia="宋体" w:cs="宋体"/>
          <w:i w:val="0"/>
          <w:iCs w:val="0"/>
          <w:color w:val="000000"/>
          <w:kern w:val="0"/>
          <w:sz w:val="21"/>
          <w:szCs w:val="21"/>
          <w:u w:val="none"/>
          <w:lang w:val="en-US" w:eastAsia="zh-CN" w:bidi="ar"/>
        </w:rPr>
        <w:t>保险人以参加基本医疗保险或公费医疗身份投保，并以基本医疗保险或公费医疗身份就诊并结算</w:t>
      </w:r>
      <w:bookmarkEnd w:id="2"/>
      <w:r>
        <w:rPr>
          <w:rFonts w:hint="eastAsia" w:ascii="宋体" w:hAnsi="宋体" w:eastAsia="宋体" w:cs="宋体"/>
          <w:i w:val="0"/>
          <w:iCs w:val="0"/>
          <w:color w:val="000000"/>
          <w:kern w:val="0"/>
          <w:sz w:val="21"/>
          <w:szCs w:val="21"/>
          <w:u w:val="none"/>
          <w:lang w:val="en-US" w:eastAsia="zh-CN" w:bidi="ar"/>
        </w:rPr>
        <w:t>：80%；</w:t>
      </w:r>
    </w:p>
    <w:p w14:paraId="70F24202">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（2）被保险人以参加基本医疗保险或公费医疗身份投保，但未以基本医疗保险或公费医疗身份就诊并结算：48%；</w:t>
      </w:r>
    </w:p>
    <w:p w14:paraId="7325C422">
      <w:pPr>
        <w:keepNext w:val="0"/>
        <w:keepLines w:val="0"/>
        <w:pageBreakBefore w:val="0"/>
        <w:widowControl/>
        <w:numPr>
          <w:ilvl w:val="-1"/>
          <w:numId w:val="0"/>
        </w:numPr>
        <w:kinsoku/>
        <w:wordWrap/>
        <w:overflowPunct/>
        <w:topLinePunct w:val="0"/>
        <w:autoSpaceDE/>
        <w:autoSpaceDN/>
        <w:bidi w:val="0"/>
        <w:adjustRightInd w:val="0"/>
        <w:snapToGrid w:val="0"/>
        <w:spacing w:after="0"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bookmarkEnd w:id="0"/>
      <w:r>
        <w:rPr>
          <w:rFonts w:hint="eastAsia" w:ascii="宋体" w:hAnsi="宋体" w:eastAsia="宋体" w:cs="宋体"/>
          <w:i w:val="0"/>
          <w:iCs w:val="0"/>
          <w:color w:val="000000"/>
          <w:kern w:val="0"/>
          <w:sz w:val="21"/>
          <w:szCs w:val="21"/>
          <w:u w:val="none"/>
          <w:lang w:val="en-US" w:eastAsia="zh-CN" w:bidi="ar"/>
        </w:rPr>
        <w:t>被保险人既未以参加基本医疗保险身份又未以参加公费医疗身份投保的：80%；</w:t>
      </w:r>
    </w:p>
    <w:p w14:paraId="2FBA63F5">
      <w:pPr>
        <w:keepNext w:val="0"/>
        <w:keepLines w:val="0"/>
        <w:pageBreakBefore w:val="0"/>
        <w:widowControl/>
        <w:numPr>
          <w:ilvl w:val="-1"/>
          <w:numId w:val="0"/>
        </w:numPr>
        <w:kinsoku/>
        <w:wordWrap/>
        <w:overflowPunct/>
        <w:topLinePunct w:val="0"/>
        <w:autoSpaceDE/>
        <w:autoSpaceDN/>
        <w:bidi w:val="0"/>
        <w:adjustRightInd w:val="0"/>
        <w:snapToGrid w:val="0"/>
        <w:spacing w:after="0" w:line="240" w:lineRule="auto"/>
        <w:jc w:val="left"/>
        <w:textAlignment w:val="center"/>
        <w:rPr>
          <w:rFonts w:hint="eastAsia" w:ascii="宋体" w:hAnsi="宋体" w:eastAsia="宋体" w:cs="宋体"/>
          <w:b w:val="0"/>
          <w:b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3、基准保险金额：1万元</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3"/>
        <w:gridCol w:w="2807"/>
        <w:gridCol w:w="2872"/>
      </w:tblGrid>
      <w:tr w14:paraId="28601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3" w:type="dxa"/>
            <w:vMerge w:val="restart"/>
            <w:vAlign w:val="center"/>
          </w:tcPr>
          <w:p w14:paraId="5328CA27">
            <w:pPr>
              <w:keepNext w:val="0"/>
              <w:keepLines w:val="0"/>
              <w:pageBreakBefore w:val="0"/>
              <w:numPr>
                <w:ilvl w:val="-1"/>
                <w:numId w:val="0"/>
              </w:numPr>
              <w:kinsoku/>
              <w:wordWrap/>
              <w:overflowPunct/>
              <w:topLinePunct w:val="0"/>
              <w:autoSpaceDE/>
              <w:autoSpaceDN/>
              <w:bidi w:val="0"/>
              <w:adjustRightInd w:val="0"/>
              <w:snapToGrid w:val="0"/>
              <w:spacing w:after="0" w:line="24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基准费率</w:t>
            </w:r>
          </w:p>
        </w:tc>
        <w:tc>
          <w:tcPr>
            <w:tcW w:w="2807" w:type="dxa"/>
            <w:vAlign w:val="center"/>
          </w:tcPr>
          <w:p w14:paraId="2B1B7628">
            <w:pPr>
              <w:keepNext w:val="0"/>
              <w:keepLines w:val="0"/>
              <w:pageBreakBefore w:val="0"/>
              <w:widowControl/>
              <w:numPr>
                <w:ilvl w:val="-1"/>
                <w:numId w:val="0"/>
              </w:numPr>
              <w:kinsoku/>
              <w:wordWrap/>
              <w:overflowPunct/>
              <w:topLinePunct w:val="0"/>
              <w:autoSpaceDE/>
              <w:autoSpaceDN/>
              <w:bidi w:val="0"/>
              <w:adjustRightInd w:val="0"/>
              <w:snapToGrid w:val="0"/>
              <w:spacing w:after="0" w:line="240" w:lineRule="auto"/>
              <w:jc w:val="center"/>
              <w:textAlignment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被保险人以参加基本医疗保险或公费医疗身份投保</w:t>
            </w:r>
          </w:p>
        </w:tc>
        <w:tc>
          <w:tcPr>
            <w:tcW w:w="2872" w:type="dxa"/>
            <w:vAlign w:val="center"/>
          </w:tcPr>
          <w:p w14:paraId="688781D0">
            <w:pPr>
              <w:keepNext w:val="0"/>
              <w:keepLines w:val="0"/>
              <w:pageBreakBefore w:val="0"/>
              <w:numPr>
                <w:ilvl w:val="-1"/>
                <w:numId w:val="0"/>
              </w:numPr>
              <w:kinsoku/>
              <w:wordWrap/>
              <w:overflowPunct/>
              <w:topLinePunct w:val="0"/>
              <w:autoSpaceDE/>
              <w:autoSpaceDN/>
              <w:bidi w:val="0"/>
              <w:adjustRightInd w:val="0"/>
              <w:snapToGrid w:val="0"/>
              <w:spacing w:after="0" w:line="24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被保险人既未以参加基本医疗保险身份又未以参加公费医疗身份投保的</w:t>
            </w:r>
          </w:p>
        </w:tc>
      </w:tr>
      <w:tr w14:paraId="5FB8B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3" w:type="dxa"/>
            <w:vMerge w:val="continue"/>
            <w:vAlign w:val="center"/>
          </w:tcPr>
          <w:p w14:paraId="74642A57">
            <w:pPr>
              <w:keepNext w:val="0"/>
              <w:keepLines w:val="0"/>
              <w:pageBreakBefore w:val="0"/>
              <w:numPr>
                <w:ilvl w:val="-1"/>
                <w:numId w:val="0"/>
              </w:numPr>
              <w:kinsoku/>
              <w:wordWrap/>
              <w:overflowPunct/>
              <w:topLinePunct w:val="0"/>
              <w:autoSpaceDE/>
              <w:autoSpaceDN/>
              <w:bidi w:val="0"/>
              <w:adjustRightInd w:val="0"/>
              <w:snapToGrid w:val="0"/>
              <w:spacing w:after="0" w:line="240" w:lineRule="auto"/>
              <w:jc w:val="center"/>
              <w:rPr>
                <w:rFonts w:hint="eastAsia" w:ascii="宋体" w:hAnsi="宋体" w:eastAsia="宋体" w:cs="宋体"/>
                <w:b w:val="0"/>
                <w:bCs w:val="0"/>
                <w:sz w:val="21"/>
                <w:szCs w:val="21"/>
                <w:vertAlign w:val="baseline"/>
                <w:lang w:val="en-US" w:eastAsia="zh-CN"/>
              </w:rPr>
            </w:pPr>
          </w:p>
        </w:tc>
        <w:tc>
          <w:tcPr>
            <w:tcW w:w="2807" w:type="dxa"/>
            <w:vAlign w:val="center"/>
          </w:tcPr>
          <w:p w14:paraId="1DAE8773">
            <w:pPr>
              <w:keepNext w:val="0"/>
              <w:keepLines w:val="0"/>
              <w:pageBreakBefore w:val="0"/>
              <w:numPr>
                <w:ilvl w:val="-1"/>
                <w:numId w:val="0"/>
              </w:numPr>
              <w:kinsoku/>
              <w:wordWrap/>
              <w:overflowPunct/>
              <w:topLinePunct w:val="0"/>
              <w:autoSpaceDE/>
              <w:autoSpaceDN/>
              <w:bidi w:val="0"/>
              <w:adjustRightInd w:val="0"/>
              <w:snapToGrid w:val="0"/>
              <w:spacing w:after="0" w:line="24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0.120‰</w:t>
            </w:r>
          </w:p>
        </w:tc>
        <w:tc>
          <w:tcPr>
            <w:tcW w:w="2872" w:type="dxa"/>
            <w:vAlign w:val="center"/>
          </w:tcPr>
          <w:p w14:paraId="1038FC73">
            <w:pPr>
              <w:keepNext w:val="0"/>
              <w:keepLines w:val="0"/>
              <w:pageBreakBefore w:val="0"/>
              <w:numPr>
                <w:ilvl w:val="-1"/>
                <w:numId w:val="0"/>
              </w:numPr>
              <w:kinsoku/>
              <w:wordWrap/>
              <w:overflowPunct/>
              <w:topLinePunct w:val="0"/>
              <w:autoSpaceDE/>
              <w:autoSpaceDN/>
              <w:bidi w:val="0"/>
              <w:adjustRightInd w:val="0"/>
              <w:snapToGrid w:val="0"/>
              <w:spacing w:after="0" w:line="24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0.132‰</w:t>
            </w:r>
          </w:p>
        </w:tc>
      </w:tr>
    </w:tbl>
    <w:p w14:paraId="60CB77F6">
      <w:pPr>
        <w:keepNext w:val="0"/>
        <w:keepLines w:val="0"/>
        <w:pageBreakBefore w:val="0"/>
        <w:numPr>
          <w:ilvl w:val="-1"/>
          <w:numId w:val="0"/>
        </w:numPr>
        <w:kinsoku/>
        <w:wordWrap/>
        <w:overflowPunct/>
        <w:topLinePunct w:val="0"/>
        <w:autoSpaceDE/>
        <w:autoSpaceDN/>
        <w:bidi w:val="0"/>
        <w:spacing w:line="240" w:lineRule="auto"/>
        <w:rPr>
          <w:rFonts w:hint="eastAsia" w:ascii="宋体" w:hAnsi="宋体" w:eastAsia="宋体" w:cs="宋体"/>
          <w:b/>
          <w:sz w:val="21"/>
          <w:szCs w:val="21"/>
        </w:rPr>
      </w:pPr>
    </w:p>
    <w:p w14:paraId="2E251737">
      <w:pPr>
        <w:keepNext w:val="0"/>
        <w:keepLines w:val="0"/>
        <w:pageBreakBefore w:val="0"/>
        <w:numPr>
          <w:ilvl w:val="0"/>
          <w:numId w:val="1"/>
        </w:numPr>
        <w:kinsoku/>
        <w:wordWrap/>
        <w:overflowPunct/>
        <w:topLinePunct w:val="0"/>
        <w:autoSpaceDE/>
        <w:autoSpaceDN/>
        <w:bidi w:val="0"/>
        <w:spacing w:line="240" w:lineRule="auto"/>
        <w:rPr>
          <w:rFonts w:hint="eastAsia" w:ascii="宋体" w:hAnsi="宋体" w:eastAsia="宋体" w:cs="宋体"/>
          <w:b/>
          <w:sz w:val="21"/>
          <w:szCs w:val="21"/>
        </w:rPr>
      </w:pPr>
      <w:r>
        <w:rPr>
          <w:rFonts w:hint="eastAsia" w:ascii="宋体" w:hAnsi="宋体" w:eastAsia="宋体" w:cs="宋体"/>
          <w:b/>
          <w:sz w:val="21"/>
          <w:szCs w:val="21"/>
          <w:lang w:val="en-US" w:eastAsia="zh-CN"/>
        </w:rPr>
        <w:t>费率</w:t>
      </w:r>
      <w:r>
        <w:rPr>
          <w:rFonts w:hint="eastAsia" w:ascii="宋体" w:hAnsi="宋体" w:eastAsia="宋体" w:cs="宋体"/>
          <w:b/>
          <w:sz w:val="21"/>
          <w:szCs w:val="21"/>
        </w:rPr>
        <w:t>调整系数</w:t>
      </w:r>
    </w:p>
    <w:p w14:paraId="66FCAAD8">
      <w:pPr>
        <w:keepNext w:val="0"/>
        <w:keepLines w:val="0"/>
        <w:pageBreakBefore w:val="0"/>
        <w:widowControl w:val="0"/>
        <w:kinsoku/>
        <w:wordWrap/>
        <w:overflowPunct/>
        <w:topLinePunct w:val="0"/>
        <w:autoSpaceDE/>
        <w:autoSpaceDN/>
        <w:bidi w:val="0"/>
        <w:adjustRightInd/>
        <w:snapToGrid/>
        <w:spacing w:after="0" w:line="24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w:t>
      </w:r>
      <w:r>
        <w:rPr>
          <w:rFonts w:hint="eastAsia" w:ascii="宋体" w:hAnsi="宋体" w:eastAsia="宋体" w:cs="宋体"/>
          <w:sz w:val="21"/>
          <w:szCs w:val="21"/>
          <w:lang w:val="en-US" w:eastAsia="zh-CN"/>
        </w:rPr>
        <w:t>意外伤害医疗保险金</w:t>
      </w:r>
      <w:r>
        <w:rPr>
          <w:rFonts w:hint="eastAsia" w:ascii="宋体" w:hAnsi="宋体" w:eastAsia="宋体" w:cs="宋体"/>
          <w:sz w:val="21"/>
          <w:szCs w:val="21"/>
        </w:rPr>
        <w:t>免赔额调整系数</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F1</w:t>
      </w:r>
      <w:r>
        <w:rPr>
          <w:rFonts w:hint="eastAsia" w:ascii="宋体" w:hAnsi="宋体" w:eastAsia="宋体" w:cs="宋体"/>
          <w:sz w:val="21"/>
          <w:szCs w:val="21"/>
          <w:lang w:eastAsia="zh-CN"/>
        </w:rPr>
        <w:t>）</w:t>
      </w: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80"/>
        <w:gridCol w:w="1542"/>
      </w:tblGrid>
      <w:tr w14:paraId="438D2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6980" w:type="dxa"/>
            <w:tcBorders>
              <w:top w:val="single" w:color="auto" w:sz="4" w:space="0"/>
              <w:left w:val="single" w:color="auto" w:sz="4" w:space="0"/>
              <w:bottom w:val="single" w:color="auto" w:sz="4" w:space="0"/>
              <w:right w:val="single" w:color="auto" w:sz="4" w:space="0"/>
            </w:tcBorders>
            <w:shd w:val="clear" w:color="auto" w:fill="auto"/>
            <w:vAlign w:val="center"/>
          </w:tcPr>
          <w:p w14:paraId="25FC0D79">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sz w:val="21"/>
                <w:szCs w:val="21"/>
                <w:lang w:val="en-US" w:eastAsia="zh-CN"/>
              </w:rPr>
              <w:t>意外伤害医疗保险金</w:t>
            </w:r>
            <w:r>
              <w:rPr>
                <w:rFonts w:hint="eastAsia" w:ascii="宋体" w:hAnsi="宋体" w:eastAsia="宋体" w:cs="宋体"/>
                <w:i w:val="0"/>
                <w:iCs w:val="0"/>
                <w:color w:val="000000"/>
                <w:kern w:val="0"/>
                <w:sz w:val="21"/>
                <w:szCs w:val="21"/>
                <w:u w:val="none"/>
                <w:lang w:val="en-US" w:eastAsia="zh-CN" w:bidi="ar"/>
              </w:rPr>
              <w:t>免赔额（元）</w:t>
            </w:r>
          </w:p>
        </w:tc>
        <w:tc>
          <w:tcPr>
            <w:tcW w:w="1542" w:type="dxa"/>
            <w:tcBorders>
              <w:top w:val="single" w:color="auto" w:sz="4" w:space="0"/>
              <w:left w:val="single" w:color="auto" w:sz="4" w:space="0"/>
              <w:bottom w:val="single" w:color="auto" w:sz="4" w:space="0"/>
              <w:right w:val="single" w:color="auto" w:sz="4" w:space="0"/>
            </w:tcBorders>
            <w:shd w:val="clear" w:color="auto" w:fill="auto"/>
            <w:vAlign w:val="center"/>
          </w:tcPr>
          <w:p w14:paraId="7AA66E99">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调整系数</w:t>
            </w:r>
          </w:p>
        </w:tc>
      </w:tr>
      <w:tr w14:paraId="5CD14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6980" w:type="dxa"/>
            <w:tcBorders>
              <w:top w:val="single" w:color="auto" w:sz="4" w:space="0"/>
              <w:left w:val="single" w:color="auto" w:sz="4" w:space="0"/>
              <w:bottom w:val="single" w:color="auto" w:sz="4" w:space="0"/>
              <w:right w:val="single" w:color="auto" w:sz="4" w:space="0"/>
            </w:tcBorders>
            <w:shd w:val="clear" w:color="auto" w:fill="auto"/>
            <w:vAlign w:val="center"/>
          </w:tcPr>
          <w:p w14:paraId="297F3832">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0（含）-50（含）</w:t>
            </w:r>
          </w:p>
        </w:tc>
        <w:tc>
          <w:tcPr>
            <w:tcW w:w="1542" w:type="dxa"/>
            <w:tcBorders>
              <w:top w:val="single" w:color="auto" w:sz="4" w:space="0"/>
              <w:left w:val="single" w:color="auto" w:sz="4" w:space="0"/>
              <w:bottom w:val="single" w:color="auto" w:sz="4" w:space="0"/>
              <w:right w:val="single" w:color="auto" w:sz="4" w:space="0"/>
            </w:tcBorders>
            <w:shd w:val="clear" w:color="auto" w:fill="auto"/>
            <w:vAlign w:val="center"/>
          </w:tcPr>
          <w:p w14:paraId="3527CF56">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[1.2,1.3]</w:t>
            </w:r>
          </w:p>
        </w:tc>
      </w:tr>
      <w:tr w14:paraId="5054C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6980" w:type="dxa"/>
            <w:tcBorders>
              <w:top w:val="single" w:color="auto" w:sz="4" w:space="0"/>
              <w:left w:val="single" w:color="auto" w:sz="4" w:space="0"/>
              <w:bottom w:val="single" w:color="auto" w:sz="4" w:space="0"/>
              <w:right w:val="single" w:color="auto" w:sz="4" w:space="0"/>
            </w:tcBorders>
            <w:shd w:val="clear" w:color="auto" w:fill="auto"/>
            <w:vAlign w:val="center"/>
          </w:tcPr>
          <w:p w14:paraId="454F897D">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50（不含）-100（含）</w:t>
            </w:r>
          </w:p>
        </w:tc>
        <w:tc>
          <w:tcPr>
            <w:tcW w:w="1542" w:type="dxa"/>
            <w:tcBorders>
              <w:top w:val="single" w:color="auto" w:sz="4" w:space="0"/>
              <w:left w:val="single" w:color="auto" w:sz="4" w:space="0"/>
              <w:bottom w:val="single" w:color="auto" w:sz="4" w:space="0"/>
              <w:right w:val="single" w:color="auto" w:sz="4" w:space="0"/>
            </w:tcBorders>
            <w:shd w:val="clear" w:color="auto" w:fill="auto"/>
            <w:vAlign w:val="center"/>
          </w:tcPr>
          <w:p w14:paraId="5E067F6C">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[1.0,1.2)</w:t>
            </w:r>
          </w:p>
        </w:tc>
      </w:tr>
      <w:tr w14:paraId="76AC1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trPr>
        <w:tc>
          <w:tcPr>
            <w:tcW w:w="6980" w:type="dxa"/>
            <w:tcBorders>
              <w:top w:val="single" w:color="auto" w:sz="4" w:space="0"/>
              <w:left w:val="single" w:color="auto" w:sz="4" w:space="0"/>
              <w:bottom w:val="single" w:color="auto" w:sz="4" w:space="0"/>
              <w:right w:val="single" w:color="auto" w:sz="4" w:space="0"/>
            </w:tcBorders>
            <w:shd w:val="clear" w:color="auto" w:fill="auto"/>
            <w:vAlign w:val="center"/>
          </w:tcPr>
          <w:p w14:paraId="20D2E54F">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100（不含）-200（含）</w:t>
            </w:r>
          </w:p>
        </w:tc>
        <w:tc>
          <w:tcPr>
            <w:tcW w:w="1542" w:type="dxa"/>
            <w:tcBorders>
              <w:top w:val="single" w:color="auto" w:sz="4" w:space="0"/>
              <w:left w:val="single" w:color="auto" w:sz="4" w:space="0"/>
              <w:bottom w:val="single" w:color="auto" w:sz="4" w:space="0"/>
              <w:right w:val="single" w:color="auto" w:sz="4" w:space="0"/>
            </w:tcBorders>
            <w:shd w:val="clear" w:color="auto" w:fill="auto"/>
            <w:vAlign w:val="center"/>
          </w:tcPr>
          <w:p w14:paraId="2EA4CD8F">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[0.9,1.0)</w:t>
            </w:r>
          </w:p>
        </w:tc>
      </w:tr>
      <w:tr w14:paraId="0A9D1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6980" w:type="dxa"/>
            <w:tcBorders>
              <w:top w:val="single" w:color="auto" w:sz="4" w:space="0"/>
              <w:left w:val="single" w:color="auto" w:sz="4" w:space="0"/>
              <w:bottom w:val="single" w:color="auto" w:sz="4" w:space="0"/>
              <w:right w:val="single" w:color="auto" w:sz="4" w:space="0"/>
            </w:tcBorders>
            <w:shd w:val="clear" w:color="auto" w:fill="auto"/>
            <w:vAlign w:val="center"/>
          </w:tcPr>
          <w:p w14:paraId="494F6F7D">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200（不含）-500（含）</w:t>
            </w:r>
          </w:p>
        </w:tc>
        <w:tc>
          <w:tcPr>
            <w:tcW w:w="1542" w:type="dxa"/>
            <w:tcBorders>
              <w:top w:val="single" w:color="auto" w:sz="4" w:space="0"/>
              <w:left w:val="single" w:color="auto" w:sz="4" w:space="0"/>
              <w:bottom w:val="single" w:color="auto" w:sz="4" w:space="0"/>
              <w:right w:val="single" w:color="auto" w:sz="4" w:space="0"/>
            </w:tcBorders>
            <w:shd w:val="clear" w:color="auto" w:fill="auto"/>
            <w:vAlign w:val="center"/>
          </w:tcPr>
          <w:p w14:paraId="462892B5">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[0.7,0.9)</w:t>
            </w:r>
          </w:p>
        </w:tc>
      </w:tr>
      <w:tr w14:paraId="5CDCA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6980" w:type="dxa"/>
            <w:tcBorders>
              <w:top w:val="single" w:color="auto" w:sz="4" w:space="0"/>
              <w:left w:val="single" w:color="auto" w:sz="4" w:space="0"/>
              <w:bottom w:val="single" w:color="auto" w:sz="4" w:space="0"/>
              <w:right w:val="single" w:color="auto" w:sz="4" w:space="0"/>
            </w:tcBorders>
            <w:shd w:val="clear" w:color="auto" w:fill="auto"/>
            <w:vAlign w:val="center"/>
          </w:tcPr>
          <w:p w14:paraId="267D2E30">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500（不含）-1000（含）</w:t>
            </w:r>
          </w:p>
        </w:tc>
        <w:tc>
          <w:tcPr>
            <w:tcW w:w="1542" w:type="dxa"/>
            <w:tcBorders>
              <w:top w:val="single" w:color="auto" w:sz="4" w:space="0"/>
              <w:left w:val="single" w:color="auto" w:sz="4" w:space="0"/>
              <w:bottom w:val="single" w:color="auto" w:sz="4" w:space="0"/>
              <w:right w:val="single" w:color="auto" w:sz="4" w:space="0"/>
            </w:tcBorders>
            <w:shd w:val="clear" w:color="auto" w:fill="auto"/>
            <w:vAlign w:val="center"/>
          </w:tcPr>
          <w:p w14:paraId="6F0DF25F">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[0.5,0.7)</w:t>
            </w:r>
          </w:p>
        </w:tc>
      </w:tr>
    </w:tbl>
    <w:p w14:paraId="492B2B08">
      <w:pPr>
        <w:keepNext w:val="0"/>
        <w:keepLines w:val="0"/>
        <w:pageBreakBefore w:val="0"/>
        <w:widowControl w:val="0"/>
        <w:kinsoku/>
        <w:wordWrap/>
        <w:overflowPunct/>
        <w:topLinePunct w:val="0"/>
        <w:autoSpaceDE/>
        <w:autoSpaceDN/>
        <w:bidi w:val="0"/>
        <w:adjustRightInd/>
        <w:snapToGrid/>
        <w:spacing w:after="0" w:line="240" w:lineRule="auto"/>
        <w:ind w:firstLine="0" w:firstLineChars="0"/>
        <w:textAlignment w:val="auto"/>
        <w:rPr>
          <w:rFonts w:hint="eastAsia" w:ascii="宋体" w:hAnsi="宋体" w:eastAsia="宋体" w:cs="宋体"/>
          <w:sz w:val="21"/>
          <w:szCs w:val="21"/>
          <w:lang w:val="en-US" w:eastAsia="zh-CN"/>
        </w:rPr>
      </w:pPr>
    </w:p>
    <w:p w14:paraId="437D6F2C">
      <w:pPr>
        <w:keepNext w:val="0"/>
        <w:keepLines w:val="0"/>
        <w:pageBreakBefore w:val="0"/>
        <w:widowControl w:val="0"/>
        <w:kinsoku/>
        <w:wordWrap/>
        <w:overflowPunct/>
        <w:topLinePunct w:val="0"/>
        <w:autoSpaceDE/>
        <w:autoSpaceDN/>
        <w:bidi w:val="0"/>
        <w:adjustRightInd/>
        <w:snapToGrid/>
        <w:spacing w:after="0" w:line="24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w:t>
      </w:r>
      <w:r>
        <w:rPr>
          <w:rFonts w:hint="eastAsia" w:ascii="宋体" w:hAnsi="宋体" w:eastAsia="宋体" w:cs="宋体"/>
          <w:sz w:val="21"/>
          <w:szCs w:val="21"/>
          <w:lang w:val="en-US" w:eastAsia="zh-CN"/>
        </w:rPr>
        <w:t>意外伤害医疗保险金</w:t>
      </w:r>
      <w:r>
        <w:rPr>
          <w:rFonts w:hint="eastAsia" w:ascii="宋体" w:hAnsi="宋体" w:eastAsia="宋体" w:cs="宋体"/>
          <w:sz w:val="21"/>
          <w:szCs w:val="21"/>
        </w:rPr>
        <w:t>赔付比例调整系数</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F2</w:t>
      </w:r>
      <w:r>
        <w:rPr>
          <w:rFonts w:hint="eastAsia" w:ascii="宋体" w:hAnsi="宋体" w:eastAsia="宋体" w:cs="宋体"/>
          <w:sz w:val="21"/>
          <w:szCs w:val="21"/>
          <w:lang w:eastAsia="zh-CN"/>
        </w:rPr>
        <w:t>）</w:t>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695"/>
        <w:gridCol w:w="2661"/>
        <w:gridCol w:w="1914"/>
        <w:gridCol w:w="1252"/>
      </w:tblGrid>
      <w:tr w14:paraId="362EA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5117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bookmarkStart w:id="3" w:name="OLE_LINK21"/>
            <w:r>
              <w:rPr>
                <w:rFonts w:hint="eastAsia" w:ascii="宋体" w:hAnsi="宋体" w:eastAsia="宋体" w:cs="宋体"/>
                <w:i w:val="0"/>
                <w:iCs w:val="0"/>
                <w:color w:val="000000"/>
                <w:kern w:val="0"/>
                <w:sz w:val="21"/>
                <w:szCs w:val="21"/>
                <w:u w:val="none"/>
                <w:lang w:val="en-US" w:eastAsia="zh-CN" w:bidi="ar"/>
              </w:rPr>
              <w:t>被保险人以参加基本医疗保险或公费医疗身份投保，并以基本医疗保险或公费医疗身份就诊并结算</w:t>
            </w:r>
            <w:bookmarkEnd w:id="3"/>
          </w:p>
        </w:tc>
        <w:tc>
          <w:tcPr>
            <w:tcW w:w="2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E3BD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lang w:val="en-US"/>
              </w:rPr>
            </w:pPr>
            <w:bookmarkStart w:id="4" w:name="OLE_LINK22"/>
            <w:bookmarkStart w:id="5" w:name="OLE_LINK23"/>
            <w:r>
              <w:rPr>
                <w:rFonts w:hint="eastAsia" w:ascii="宋体" w:hAnsi="宋体" w:eastAsia="宋体" w:cs="宋体"/>
                <w:i w:val="0"/>
                <w:iCs w:val="0"/>
                <w:color w:val="000000"/>
                <w:kern w:val="0"/>
                <w:sz w:val="21"/>
                <w:szCs w:val="21"/>
                <w:u w:val="none"/>
                <w:lang w:val="en-US" w:eastAsia="zh-CN" w:bidi="ar"/>
              </w:rPr>
              <w:t>被保险人以参加基本医疗保险或公费医疗身份投保，但未以基本医疗保险或公费医疗身份就诊并结</w:t>
            </w:r>
            <w:bookmarkEnd w:id="4"/>
            <w:r>
              <w:rPr>
                <w:rFonts w:hint="eastAsia" w:ascii="宋体" w:hAnsi="宋体" w:eastAsia="宋体" w:cs="宋体"/>
                <w:i w:val="0"/>
                <w:iCs w:val="0"/>
                <w:color w:val="000000"/>
                <w:kern w:val="0"/>
                <w:sz w:val="21"/>
                <w:szCs w:val="21"/>
                <w:u w:val="none"/>
                <w:lang w:val="en-US" w:eastAsia="zh-CN" w:bidi="ar"/>
              </w:rPr>
              <w:t>算</w:t>
            </w:r>
            <w:bookmarkEnd w:id="5"/>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1C48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被保险人既未以参加基本医疗保险身份又未以参加公费医疗身份投保的</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3817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调整系数</w:t>
            </w:r>
          </w:p>
        </w:tc>
      </w:tr>
      <w:tr w14:paraId="26FD8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FBEC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2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E9C8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2048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3C4E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 </w:t>
            </w:r>
          </w:p>
        </w:tc>
      </w:tr>
      <w:tr w14:paraId="7DCFD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8C6A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2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4A8F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93C9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90%</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4124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1.13 </w:t>
            </w:r>
          </w:p>
        </w:tc>
      </w:tr>
      <w:tr w14:paraId="5226C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6169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2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7D75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DFEF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80%</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9DAC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 </w:t>
            </w:r>
          </w:p>
        </w:tc>
      </w:tr>
      <w:tr w14:paraId="3F319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EDA0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w:t>
            </w:r>
          </w:p>
        </w:tc>
        <w:tc>
          <w:tcPr>
            <w:tcW w:w="2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7FBD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B325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70%</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191C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0.88 </w:t>
            </w:r>
          </w:p>
        </w:tc>
      </w:tr>
      <w:tr w14:paraId="6C354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6C54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2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BD53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C832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60%</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C501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0.75 </w:t>
            </w:r>
          </w:p>
        </w:tc>
      </w:tr>
      <w:tr w14:paraId="0EFA1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4"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0E55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2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3D2F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7C8A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BA82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0.63 </w:t>
            </w:r>
          </w:p>
        </w:tc>
      </w:tr>
      <w:tr w14:paraId="1094E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C629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2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28E5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6B8E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6B13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0.50 </w:t>
            </w:r>
          </w:p>
        </w:tc>
      </w:tr>
      <w:tr w14:paraId="472F8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4"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5024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2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9D2F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9E2C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DACC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0.38 </w:t>
            </w:r>
          </w:p>
        </w:tc>
      </w:tr>
      <w:tr w14:paraId="2247C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91A7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2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5E77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EFE3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8374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0.31 </w:t>
            </w:r>
          </w:p>
        </w:tc>
      </w:tr>
    </w:tbl>
    <w:p w14:paraId="5BDE4DDD">
      <w:pPr>
        <w:keepNext w:val="0"/>
        <w:keepLines w:val="0"/>
        <w:pageBreakBefore w:val="0"/>
        <w:widowControl w:val="0"/>
        <w:numPr>
          <w:ilvl w:val="0"/>
          <w:numId w:val="0"/>
        </w:numPr>
        <w:kinsoku/>
        <w:wordWrap/>
        <w:overflowPunct/>
        <w:topLinePunct w:val="0"/>
        <w:autoSpaceDE/>
        <w:autoSpaceDN/>
        <w:bidi w:val="0"/>
        <w:adjustRightInd w:val="0"/>
        <w:snapToGrid w:val="0"/>
        <w:spacing w:after="0" w:line="240" w:lineRule="auto"/>
        <w:ind w:firstLine="0" w:firstLineChars="0"/>
        <w:textAlignment w:val="auto"/>
        <w:rPr>
          <w:rFonts w:hint="eastAsia" w:ascii="宋体" w:hAnsi="宋体" w:eastAsia="宋体" w:cs="宋体"/>
          <w:sz w:val="21"/>
          <w:szCs w:val="21"/>
          <w:lang w:val="en-US" w:eastAsia="zh-CN"/>
        </w:rPr>
      </w:pPr>
    </w:p>
    <w:p w14:paraId="1A3657A5">
      <w:pPr>
        <w:keepNext w:val="0"/>
        <w:keepLines w:val="0"/>
        <w:pageBreakBefore w:val="0"/>
        <w:widowControl w:val="0"/>
        <w:numPr>
          <w:ilvl w:val="0"/>
          <w:numId w:val="0"/>
        </w:numPr>
        <w:kinsoku/>
        <w:wordWrap/>
        <w:overflowPunct/>
        <w:topLinePunct w:val="0"/>
        <w:autoSpaceDE/>
        <w:autoSpaceDN/>
        <w:bidi w:val="0"/>
        <w:adjustRightInd w:val="0"/>
        <w:snapToGrid w:val="0"/>
        <w:spacing w:after="0" w:line="240" w:lineRule="auto"/>
        <w:ind w:firstLine="0" w:firstLineChars="0"/>
        <w:textAlignment w:val="auto"/>
        <w:rPr>
          <w:rFonts w:hint="eastAsia" w:ascii="宋体" w:hAnsi="宋体" w:eastAsia="宋体" w:cs="宋体"/>
          <w:b w:val="0"/>
          <w:bCs w:val="0"/>
          <w:sz w:val="21"/>
          <w:szCs w:val="21"/>
          <w:lang w:val="en-US" w:eastAsia="zh-CN"/>
        </w:rPr>
      </w:pPr>
      <w:r>
        <w:rPr>
          <w:rFonts w:hint="eastAsia" w:ascii="宋体" w:hAnsi="宋体" w:eastAsia="宋体" w:cs="宋体"/>
          <w:sz w:val="21"/>
          <w:szCs w:val="21"/>
          <w:lang w:val="en-US" w:eastAsia="zh-CN"/>
        </w:rPr>
        <w:t>3、意外伤害医疗</w:t>
      </w:r>
      <w:r>
        <w:rPr>
          <w:rFonts w:hint="eastAsia" w:ascii="宋体" w:hAnsi="宋体" w:eastAsia="宋体" w:cs="宋体"/>
          <w:b w:val="0"/>
          <w:bCs w:val="0"/>
          <w:sz w:val="21"/>
          <w:szCs w:val="21"/>
          <w:lang w:val="en-US" w:eastAsia="zh-CN"/>
        </w:rPr>
        <w:t>保险金额调整系数（F3）</w:t>
      </w: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69"/>
        <w:gridCol w:w="1553"/>
      </w:tblGrid>
      <w:tr w14:paraId="21129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E3106">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意外伤害医疗保险金额（万元）</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968FB">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调整系数</w:t>
            </w:r>
          </w:p>
        </w:tc>
      </w:tr>
      <w:tr w14:paraId="0E531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EA5B8">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(0,0.5]</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E8FDD">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r>
              <w:rPr>
                <w:rFonts w:hint="eastAsia" w:ascii="宋体" w:hAnsi="宋体" w:cs="宋体"/>
                <w:i w:val="0"/>
                <w:iCs w:val="0"/>
                <w:color w:val="000000"/>
                <w:kern w:val="0"/>
                <w:sz w:val="21"/>
                <w:szCs w:val="21"/>
                <w:u w:val="none"/>
                <w:lang w:val="en-US" w:eastAsia="zh-CN" w:bidi="ar"/>
              </w:rPr>
              <w:t>1</w:t>
            </w:r>
            <w:bookmarkStart w:id="10" w:name="_GoBack"/>
            <w:bookmarkEnd w:id="10"/>
            <w:r>
              <w:rPr>
                <w:rFonts w:hint="eastAsia" w:ascii="宋体" w:hAnsi="宋体" w:eastAsia="宋体" w:cs="宋体"/>
                <w:i w:val="0"/>
                <w:iCs w:val="0"/>
                <w:color w:val="000000"/>
                <w:kern w:val="0"/>
                <w:sz w:val="21"/>
                <w:szCs w:val="21"/>
                <w:u w:val="none"/>
                <w:lang w:val="en-US" w:eastAsia="zh-CN" w:bidi="ar"/>
              </w:rPr>
              <w:t>,1.3]</w:t>
            </w:r>
          </w:p>
        </w:tc>
      </w:tr>
      <w:tr w14:paraId="21F4E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DCFB5">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(0.5,1]</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CF01A">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[1.0,1.1)</w:t>
            </w:r>
          </w:p>
        </w:tc>
      </w:tr>
      <w:tr w14:paraId="3DECA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0F933">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260D3">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bookmarkStart w:id="6" w:name="OLE_LINK1"/>
            <w:r>
              <w:rPr>
                <w:rFonts w:hint="eastAsia" w:ascii="宋体" w:hAnsi="宋体" w:eastAsia="宋体" w:cs="宋体"/>
                <w:i w:val="0"/>
                <w:iCs w:val="0"/>
                <w:color w:val="000000"/>
                <w:kern w:val="0"/>
                <w:sz w:val="21"/>
                <w:szCs w:val="21"/>
                <w:u w:val="none"/>
                <w:lang w:val="en-US" w:eastAsia="zh-CN" w:bidi="ar"/>
              </w:rPr>
              <w:t>[0.8,1.0)</w:t>
            </w:r>
            <w:bookmarkEnd w:id="6"/>
          </w:p>
        </w:tc>
      </w:tr>
      <w:tr w14:paraId="1BCF4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6A784">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&lt;3</w:t>
            </w:r>
          </w:p>
        </w:tc>
        <w:tc>
          <w:tcPr>
            <w:tcW w:w="1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64D81">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[0.5,0.8)</w:t>
            </w:r>
          </w:p>
        </w:tc>
      </w:tr>
    </w:tbl>
    <w:p w14:paraId="3E87A715">
      <w:pPr>
        <w:keepNext w:val="0"/>
        <w:keepLines w:val="0"/>
        <w:pageBreakBefore w:val="0"/>
        <w:widowControl w:val="0"/>
        <w:numPr>
          <w:ilvl w:val="0"/>
          <w:numId w:val="0"/>
        </w:numPr>
        <w:kinsoku/>
        <w:wordWrap/>
        <w:overflowPunct/>
        <w:topLinePunct w:val="0"/>
        <w:autoSpaceDE/>
        <w:autoSpaceDN/>
        <w:bidi w:val="0"/>
        <w:adjustRightInd w:val="0"/>
        <w:snapToGrid w:val="0"/>
        <w:spacing w:after="0" w:line="240" w:lineRule="auto"/>
        <w:ind w:firstLine="420" w:firstLineChars="200"/>
        <w:textAlignment w:val="auto"/>
        <w:rPr>
          <w:rFonts w:hint="eastAsia" w:ascii="宋体" w:hAnsi="宋体" w:eastAsia="宋体" w:cs="宋体"/>
          <w:sz w:val="21"/>
          <w:szCs w:val="21"/>
          <w:lang w:val="en-US" w:eastAsia="zh-CN"/>
        </w:rPr>
      </w:pPr>
    </w:p>
    <w:p w14:paraId="0F83C0CE">
      <w:pPr>
        <w:keepNext w:val="0"/>
        <w:keepLines w:val="0"/>
        <w:pageBreakBefore w:val="0"/>
        <w:widowControl w:val="0"/>
        <w:numPr>
          <w:ilvl w:val="0"/>
          <w:numId w:val="0"/>
        </w:numPr>
        <w:kinsoku/>
        <w:wordWrap/>
        <w:overflowPunct/>
        <w:topLinePunct w:val="0"/>
        <w:autoSpaceDE/>
        <w:autoSpaceDN/>
        <w:bidi w:val="0"/>
        <w:adjustRightInd w:val="0"/>
        <w:snapToGrid w:val="0"/>
        <w:spacing w:after="0" w:line="240" w:lineRule="auto"/>
        <w:ind w:firstLine="0" w:firstLineChars="0"/>
        <w:textAlignment w:val="auto"/>
        <w:rPr>
          <w:rFonts w:hint="eastAsia" w:ascii="宋体" w:hAnsi="宋体" w:eastAsia="宋体" w:cs="宋体"/>
          <w:b w:val="0"/>
          <w:bCs w:val="0"/>
          <w:sz w:val="21"/>
          <w:szCs w:val="21"/>
          <w:lang w:val="en-US" w:eastAsia="zh-CN"/>
        </w:rPr>
      </w:pPr>
      <w:r>
        <w:rPr>
          <w:rFonts w:hint="eastAsia" w:ascii="宋体" w:hAnsi="宋体" w:eastAsia="宋体" w:cs="宋体"/>
          <w:sz w:val="21"/>
          <w:szCs w:val="21"/>
          <w:lang w:val="en-US" w:eastAsia="zh-CN"/>
        </w:rPr>
        <w:t>4、</w:t>
      </w:r>
      <w:r>
        <w:rPr>
          <w:rFonts w:hint="eastAsia" w:ascii="宋体" w:hAnsi="宋体" w:eastAsia="宋体" w:cs="宋体"/>
          <w:b w:val="0"/>
          <w:bCs w:val="0"/>
          <w:sz w:val="21"/>
          <w:szCs w:val="21"/>
          <w:lang w:val="en-US" w:eastAsia="zh-CN"/>
        </w:rPr>
        <w:t>渠道调整系数（F4）</w:t>
      </w: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02"/>
        <w:gridCol w:w="1520"/>
      </w:tblGrid>
      <w:tr w14:paraId="7DF79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7002" w:type="dxa"/>
            <w:tcBorders>
              <w:top w:val="single" w:color="auto" w:sz="4" w:space="0"/>
              <w:left w:val="single" w:color="auto" w:sz="4" w:space="0"/>
              <w:bottom w:val="single" w:color="auto" w:sz="4" w:space="0"/>
              <w:right w:val="single" w:color="auto" w:sz="4" w:space="0"/>
            </w:tcBorders>
            <w:shd w:val="clear" w:color="auto" w:fill="auto"/>
            <w:vAlign w:val="center"/>
          </w:tcPr>
          <w:p w14:paraId="1F18F79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bookmarkStart w:id="7" w:name="OLE_LINK19" w:colFirst="0" w:colLast="1"/>
            <w:r>
              <w:rPr>
                <w:rFonts w:hint="eastAsia" w:ascii="宋体" w:hAnsi="宋体" w:eastAsia="宋体" w:cs="宋体"/>
                <w:i w:val="0"/>
                <w:iCs w:val="0"/>
                <w:color w:val="000000"/>
                <w:kern w:val="0"/>
                <w:sz w:val="21"/>
                <w:szCs w:val="21"/>
                <w:u w:val="none"/>
                <w:lang w:val="en-US" w:eastAsia="zh-CN" w:bidi="ar"/>
              </w:rPr>
              <w:t>渠道类型</w:t>
            </w:r>
          </w:p>
        </w:tc>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672A4FA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调整系数</w:t>
            </w:r>
          </w:p>
        </w:tc>
      </w:tr>
      <w:tr w14:paraId="05755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3" w:hRule="atLeast"/>
        </w:trPr>
        <w:tc>
          <w:tcPr>
            <w:tcW w:w="7002" w:type="dxa"/>
            <w:tcBorders>
              <w:top w:val="single" w:color="auto" w:sz="4" w:space="0"/>
              <w:left w:val="single" w:color="auto" w:sz="4" w:space="0"/>
              <w:bottom w:val="single" w:color="auto" w:sz="4" w:space="0"/>
              <w:right w:val="single" w:color="auto" w:sz="4" w:space="0"/>
            </w:tcBorders>
            <w:shd w:val="clear" w:color="auto" w:fill="auto"/>
            <w:vAlign w:val="center"/>
          </w:tcPr>
          <w:p w14:paraId="12B078F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直销（或销售费用率等同直销的渠道）</w:t>
            </w:r>
          </w:p>
        </w:tc>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756A04F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[0.7,1.0]</w:t>
            </w:r>
          </w:p>
        </w:tc>
      </w:tr>
      <w:tr w14:paraId="6EF5F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7002" w:type="dxa"/>
            <w:tcBorders>
              <w:top w:val="single" w:color="auto" w:sz="4" w:space="0"/>
              <w:left w:val="single" w:color="auto" w:sz="4" w:space="0"/>
              <w:bottom w:val="single" w:color="auto" w:sz="4" w:space="0"/>
              <w:right w:val="single" w:color="auto" w:sz="4" w:space="0"/>
            </w:tcBorders>
            <w:shd w:val="clear" w:color="auto" w:fill="auto"/>
            <w:vAlign w:val="center"/>
          </w:tcPr>
          <w:p w14:paraId="7234E51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其他第三方渠道</w:t>
            </w:r>
          </w:p>
        </w:tc>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7934103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(1.0,1.3]</w:t>
            </w:r>
          </w:p>
        </w:tc>
      </w:tr>
      <w:bookmarkEnd w:id="7"/>
    </w:tbl>
    <w:p w14:paraId="46C05033">
      <w:pPr>
        <w:keepNext w:val="0"/>
        <w:keepLines w:val="0"/>
        <w:pageBreakBefore w:val="0"/>
        <w:widowControl w:val="0"/>
        <w:numPr>
          <w:ilvl w:val="0"/>
          <w:numId w:val="0"/>
        </w:numPr>
        <w:kinsoku/>
        <w:wordWrap/>
        <w:overflowPunct/>
        <w:topLinePunct w:val="0"/>
        <w:autoSpaceDE/>
        <w:autoSpaceDN/>
        <w:bidi w:val="0"/>
        <w:adjustRightInd w:val="0"/>
        <w:snapToGrid w:val="0"/>
        <w:spacing w:after="0" w:line="240" w:lineRule="auto"/>
        <w:ind w:firstLine="0" w:firstLineChars="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注：根据渠道销售费用率水平按比例调整。</w:t>
      </w:r>
    </w:p>
    <w:p w14:paraId="6564CF0A">
      <w:pPr>
        <w:keepNext w:val="0"/>
        <w:keepLines w:val="0"/>
        <w:pageBreakBefore w:val="0"/>
        <w:widowControl w:val="0"/>
        <w:numPr>
          <w:ilvl w:val="0"/>
          <w:numId w:val="0"/>
        </w:numPr>
        <w:kinsoku/>
        <w:wordWrap/>
        <w:overflowPunct/>
        <w:topLinePunct w:val="0"/>
        <w:autoSpaceDE/>
        <w:autoSpaceDN/>
        <w:bidi w:val="0"/>
        <w:adjustRightInd w:val="0"/>
        <w:snapToGrid w:val="0"/>
        <w:spacing w:after="0" w:line="240" w:lineRule="auto"/>
        <w:ind w:firstLine="0" w:firstLineChars="0"/>
        <w:textAlignment w:val="auto"/>
        <w:rPr>
          <w:rFonts w:hint="eastAsia" w:ascii="宋体" w:hAnsi="宋体" w:eastAsia="宋体" w:cs="宋体"/>
          <w:b w:val="0"/>
          <w:bCs w:val="0"/>
          <w:sz w:val="21"/>
          <w:szCs w:val="21"/>
          <w:lang w:val="en-US" w:eastAsia="zh-CN"/>
        </w:rPr>
      </w:pPr>
    </w:p>
    <w:p w14:paraId="658D983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5、燃气类型调整系数（F5）</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0"/>
        <w:gridCol w:w="1542"/>
      </w:tblGrid>
      <w:tr w14:paraId="38ABA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0" w:type="dxa"/>
          </w:tcPr>
          <w:p w14:paraId="5D5F352B">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燃气类型</w:t>
            </w:r>
          </w:p>
        </w:tc>
        <w:tc>
          <w:tcPr>
            <w:tcW w:w="1542" w:type="dxa"/>
          </w:tcPr>
          <w:p w14:paraId="05BCAB68">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sz w:val="21"/>
                <w:szCs w:val="21"/>
              </w:rPr>
            </w:pPr>
            <w:r>
              <w:rPr>
                <w:rFonts w:hint="eastAsia" w:ascii="宋体" w:hAnsi="宋体" w:eastAsia="宋体" w:cs="宋体"/>
                <w:bCs/>
                <w:sz w:val="21"/>
                <w:szCs w:val="21"/>
              </w:rPr>
              <w:t>调整系数</w:t>
            </w:r>
          </w:p>
        </w:tc>
      </w:tr>
      <w:tr w14:paraId="3C2A9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0" w:type="dxa"/>
          </w:tcPr>
          <w:p w14:paraId="7B77AE45">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天然气(含煤层气)</w:t>
            </w:r>
          </w:p>
        </w:tc>
        <w:tc>
          <w:tcPr>
            <w:tcW w:w="1542" w:type="dxa"/>
          </w:tcPr>
          <w:p w14:paraId="2D193630">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1.0</w:t>
            </w:r>
          </w:p>
        </w:tc>
      </w:tr>
      <w:tr w14:paraId="4202E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0" w:type="dxa"/>
          </w:tcPr>
          <w:p w14:paraId="6FB87A38">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液化石油气</w:t>
            </w:r>
          </w:p>
        </w:tc>
        <w:tc>
          <w:tcPr>
            <w:tcW w:w="1542" w:type="dxa"/>
          </w:tcPr>
          <w:p w14:paraId="4D5A5104">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1.1</w:t>
            </w:r>
          </w:p>
        </w:tc>
      </w:tr>
      <w:tr w14:paraId="7606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0" w:type="dxa"/>
          </w:tcPr>
          <w:p w14:paraId="5C7166EB">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人工煤气</w:t>
            </w:r>
          </w:p>
        </w:tc>
        <w:tc>
          <w:tcPr>
            <w:tcW w:w="1542" w:type="dxa"/>
          </w:tcPr>
          <w:p w14:paraId="7B4EA563">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1.3</w:t>
            </w:r>
          </w:p>
        </w:tc>
      </w:tr>
      <w:tr w14:paraId="7C1F3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0" w:type="dxa"/>
          </w:tcPr>
          <w:p w14:paraId="53ED4C48">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其他</w:t>
            </w:r>
          </w:p>
        </w:tc>
        <w:tc>
          <w:tcPr>
            <w:tcW w:w="1542" w:type="dxa"/>
          </w:tcPr>
          <w:p w14:paraId="13A06284">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1.5</w:t>
            </w:r>
          </w:p>
        </w:tc>
      </w:tr>
    </w:tbl>
    <w:p w14:paraId="3D31BF33">
      <w:pPr>
        <w:keepNext w:val="0"/>
        <w:keepLines w:val="0"/>
        <w:pageBreakBefore w:val="0"/>
        <w:kinsoku/>
        <w:wordWrap/>
        <w:overflowPunct/>
        <w:topLinePunct w:val="0"/>
        <w:autoSpaceDE/>
        <w:autoSpaceDN/>
        <w:bidi w:val="0"/>
        <w:spacing w:line="240" w:lineRule="auto"/>
        <w:rPr>
          <w:rFonts w:hint="eastAsia" w:ascii="宋体" w:hAnsi="宋体" w:eastAsia="宋体" w:cs="宋体"/>
          <w:b/>
          <w:sz w:val="21"/>
          <w:szCs w:val="21"/>
        </w:rPr>
      </w:pPr>
    </w:p>
    <w:p w14:paraId="4413953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6、</w:t>
      </w:r>
      <w:bookmarkStart w:id="8" w:name="OLE_LINK7"/>
      <w:r>
        <w:rPr>
          <w:rFonts w:hint="eastAsia" w:ascii="宋体" w:hAnsi="宋体" w:eastAsia="宋体" w:cs="宋体"/>
          <w:sz w:val="21"/>
          <w:szCs w:val="21"/>
          <w:lang w:val="en-US" w:eastAsia="zh-CN"/>
        </w:rPr>
        <w:t>燃气公司</w:t>
      </w:r>
      <w:bookmarkEnd w:id="8"/>
      <w:r>
        <w:rPr>
          <w:rFonts w:hint="eastAsia" w:ascii="宋体" w:hAnsi="宋体" w:eastAsia="宋体" w:cs="宋体"/>
          <w:sz w:val="21"/>
          <w:szCs w:val="21"/>
        </w:rPr>
        <w:t>风险管理水平调整系数（F</w:t>
      </w:r>
      <w:r>
        <w:rPr>
          <w:rFonts w:hint="eastAsia" w:ascii="宋体" w:hAnsi="宋体" w:eastAsia="宋体" w:cs="宋体"/>
          <w:sz w:val="21"/>
          <w:szCs w:val="21"/>
          <w:lang w:val="en-US" w:eastAsia="zh-CN"/>
        </w:rPr>
        <w:t>6</w:t>
      </w:r>
      <w:r>
        <w:rPr>
          <w:rFonts w:hint="eastAsia" w:ascii="宋体" w:hAnsi="宋体" w:eastAsia="宋体" w:cs="宋体"/>
          <w:sz w:val="21"/>
          <w:szCs w:val="21"/>
        </w:rPr>
        <w:t>）</w:t>
      </w:r>
    </w:p>
    <w:tbl>
      <w:tblPr>
        <w:tblStyle w:val="10"/>
        <w:tblW w:w="504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19"/>
        <w:gridCol w:w="1580"/>
      </w:tblGrid>
      <w:tr w14:paraId="513255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019" w:type="dxa"/>
            <w:vAlign w:val="center"/>
          </w:tcPr>
          <w:p w14:paraId="3E505CB6">
            <w:pPr>
              <w:pStyle w:val="21"/>
              <w:keepNext w:val="0"/>
              <w:keepLines w:val="0"/>
              <w:pageBreakBefore w:val="0"/>
              <w:kinsoku/>
              <w:wordWrap/>
              <w:overflowPunct/>
              <w:topLinePunct w:val="0"/>
              <w:autoSpaceDE/>
              <w:autoSpaceDN/>
              <w:bidi w:val="0"/>
              <w:spacing w:line="240" w:lineRule="auto"/>
              <w:jc w:val="center"/>
              <w:rPr>
                <w:rFonts w:hint="eastAsia" w:ascii="宋体" w:hAnsi="宋体" w:eastAsia="宋体" w:cs="宋体"/>
                <w:color w:val="000000" w:themeColor="text1"/>
                <w:sz w:val="21"/>
                <w:szCs w:val="21"/>
              </w:rPr>
            </w:pPr>
            <w:r>
              <w:rPr>
                <w:rFonts w:hint="eastAsia" w:ascii="宋体" w:hAnsi="宋体" w:eastAsia="宋体" w:cs="宋体"/>
                <w:sz w:val="21"/>
                <w:szCs w:val="21"/>
                <w:lang w:val="en-US" w:eastAsia="zh-CN"/>
              </w:rPr>
              <w:t>燃气公司</w:t>
            </w:r>
            <w:r>
              <w:rPr>
                <w:rFonts w:hint="eastAsia" w:ascii="宋体" w:hAnsi="宋体" w:eastAsia="宋体" w:cs="宋体"/>
                <w:sz w:val="21"/>
                <w:szCs w:val="21"/>
              </w:rPr>
              <w:t>风险管理水平</w:t>
            </w:r>
          </w:p>
        </w:tc>
        <w:tc>
          <w:tcPr>
            <w:tcW w:w="1580" w:type="dxa"/>
            <w:vAlign w:val="center"/>
          </w:tcPr>
          <w:p w14:paraId="2C018404">
            <w:pPr>
              <w:pStyle w:val="21"/>
              <w:keepNext w:val="0"/>
              <w:keepLines w:val="0"/>
              <w:pageBreakBefore w:val="0"/>
              <w:kinsoku/>
              <w:wordWrap/>
              <w:overflowPunct/>
              <w:topLinePunct w:val="0"/>
              <w:autoSpaceDE/>
              <w:autoSpaceDN/>
              <w:bidi w:val="0"/>
              <w:spacing w:line="240" w:lineRule="auto"/>
              <w:jc w:val="cente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调整系数</w:t>
            </w:r>
          </w:p>
        </w:tc>
      </w:tr>
      <w:tr w14:paraId="5F6DF7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 w:hRule="atLeast"/>
          <w:jc w:val="center"/>
        </w:trPr>
        <w:tc>
          <w:tcPr>
            <w:tcW w:w="7019" w:type="dxa"/>
            <w:vAlign w:val="center"/>
          </w:tcPr>
          <w:p w14:paraId="130278D4">
            <w:pPr>
              <w:pStyle w:val="21"/>
              <w:keepNext w:val="0"/>
              <w:keepLines w:val="0"/>
              <w:pageBreakBefore w:val="0"/>
              <w:kinsoku/>
              <w:wordWrap/>
              <w:overflowPunct/>
              <w:topLinePunct w:val="0"/>
              <w:autoSpaceDE/>
              <w:autoSpaceDN/>
              <w:bidi w:val="0"/>
              <w:spacing w:line="240" w:lineRule="auto"/>
              <w:jc w:val="cente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有全面的风险管理规章制度、充足的防灾防损设施，系统的安全教育培训，风险管理水平优秀</w:t>
            </w:r>
          </w:p>
        </w:tc>
        <w:tc>
          <w:tcPr>
            <w:tcW w:w="1580" w:type="dxa"/>
            <w:vAlign w:val="center"/>
          </w:tcPr>
          <w:p w14:paraId="60E229E4">
            <w:pPr>
              <w:pStyle w:val="21"/>
              <w:keepNext w:val="0"/>
              <w:keepLines w:val="0"/>
              <w:pageBreakBefore w:val="0"/>
              <w:kinsoku/>
              <w:wordWrap/>
              <w:overflowPunct/>
              <w:topLinePunct w:val="0"/>
              <w:autoSpaceDE/>
              <w:autoSpaceDN/>
              <w:bidi w:val="0"/>
              <w:spacing w:line="240" w:lineRule="auto"/>
              <w:jc w:val="cente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[0.7,0.9]</w:t>
            </w:r>
          </w:p>
        </w:tc>
      </w:tr>
      <w:tr w14:paraId="1343A9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019" w:type="dxa"/>
            <w:vAlign w:val="center"/>
          </w:tcPr>
          <w:p w14:paraId="18C0BEBE">
            <w:pPr>
              <w:pStyle w:val="21"/>
              <w:keepNext w:val="0"/>
              <w:keepLines w:val="0"/>
              <w:pageBreakBefore w:val="0"/>
              <w:kinsoku/>
              <w:wordWrap/>
              <w:overflowPunct/>
              <w:topLinePunct w:val="0"/>
              <w:autoSpaceDE/>
              <w:autoSpaceDN/>
              <w:bidi w:val="0"/>
              <w:spacing w:line="240" w:lineRule="auto"/>
              <w:jc w:val="cente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有风险管理规章制度、防灾防损设施、安全教育培训，风险管理水平一般</w:t>
            </w:r>
          </w:p>
        </w:tc>
        <w:tc>
          <w:tcPr>
            <w:tcW w:w="1580" w:type="dxa"/>
            <w:vAlign w:val="center"/>
          </w:tcPr>
          <w:p w14:paraId="356232CD">
            <w:pPr>
              <w:pStyle w:val="21"/>
              <w:keepNext w:val="0"/>
              <w:keepLines w:val="0"/>
              <w:pageBreakBefore w:val="0"/>
              <w:kinsoku/>
              <w:wordWrap/>
              <w:overflowPunct/>
              <w:topLinePunct w:val="0"/>
              <w:autoSpaceDE/>
              <w:autoSpaceDN/>
              <w:bidi w:val="0"/>
              <w:spacing w:line="240" w:lineRule="auto"/>
              <w:jc w:val="cente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(0.9,1.0]</w:t>
            </w:r>
          </w:p>
        </w:tc>
      </w:tr>
      <w:tr w14:paraId="62546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019" w:type="dxa"/>
            <w:vAlign w:val="center"/>
          </w:tcPr>
          <w:p w14:paraId="25D05AF0">
            <w:pPr>
              <w:pStyle w:val="21"/>
              <w:keepNext w:val="0"/>
              <w:keepLines w:val="0"/>
              <w:pageBreakBefore w:val="0"/>
              <w:kinsoku/>
              <w:wordWrap/>
              <w:overflowPunct/>
              <w:topLinePunct w:val="0"/>
              <w:autoSpaceDE/>
              <w:autoSpaceDN/>
              <w:bidi w:val="0"/>
              <w:spacing w:line="240" w:lineRule="auto"/>
              <w:jc w:val="cente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无风险管理规章制度、防灾防损设施、安全教育培训，风险管理水平较差</w:t>
            </w:r>
          </w:p>
        </w:tc>
        <w:tc>
          <w:tcPr>
            <w:tcW w:w="1580" w:type="dxa"/>
            <w:vAlign w:val="center"/>
          </w:tcPr>
          <w:p w14:paraId="453D78E9">
            <w:pPr>
              <w:pStyle w:val="21"/>
              <w:keepNext w:val="0"/>
              <w:keepLines w:val="0"/>
              <w:pageBreakBefore w:val="0"/>
              <w:kinsoku/>
              <w:wordWrap/>
              <w:overflowPunct/>
              <w:topLinePunct w:val="0"/>
              <w:autoSpaceDE/>
              <w:autoSpaceDN/>
              <w:bidi w:val="0"/>
              <w:spacing w:line="240" w:lineRule="auto"/>
              <w:jc w:val="cente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(1.0,1.3]</w:t>
            </w:r>
          </w:p>
        </w:tc>
      </w:tr>
    </w:tbl>
    <w:p w14:paraId="1CFB3F9D">
      <w:pPr>
        <w:keepNext w:val="0"/>
        <w:keepLines w:val="0"/>
        <w:pageBreakBefore w:val="0"/>
        <w:kinsoku/>
        <w:wordWrap/>
        <w:overflowPunct/>
        <w:topLinePunct w:val="0"/>
        <w:autoSpaceDE/>
        <w:autoSpaceDN/>
        <w:bidi w:val="0"/>
        <w:spacing w:line="240" w:lineRule="auto"/>
        <w:rPr>
          <w:rFonts w:hint="eastAsia" w:ascii="宋体" w:hAnsi="宋体" w:eastAsia="宋体" w:cs="宋体"/>
          <w:b/>
          <w:sz w:val="21"/>
          <w:szCs w:val="21"/>
        </w:rPr>
      </w:pPr>
    </w:p>
    <w:p w14:paraId="2333FD2F">
      <w:pPr>
        <w:keepNext w:val="0"/>
        <w:keepLines w:val="0"/>
        <w:pageBreakBefore w:val="0"/>
        <w:widowControl w:val="0"/>
        <w:numPr>
          <w:ilvl w:val="0"/>
          <w:numId w:val="0"/>
        </w:numPr>
        <w:kinsoku/>
        <w:wordWrap/>
        <w:overflowPunct/>
        <w:topLinePunct w:val="0"/>
        <w:autoSpaceDE/>
        <w:autoSpaceDN/>
        <w:bidi w:val="0"/>
        <w:adjustRightInd w:val="0"/>
        <w:snapToGrid w:val="0"/>
        <w:spacing w:after="0" w:line="240" w:lineRule="auto"/>
        <w:ind w:firstLine="0" w:firstLineChars="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7、经验/预期赔付率调整系数（F7）</w:t>
      </w: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69"/>
        <w:gridCol w:w="1553"/>
      </w:tblGrid>
      <w:tr w14:paraId="60D2D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6969" w:type="dxa"/>
            <w:tcBorders>
              <w:top w:val="single" w:color="auto" w:sz="4" w:space="0"/>
              <w:left w:val="single" w:color="auto" w:sz="4" w:space="0"/>
              <w:bottom w:val="single" w:color="auto" w:sz="4" w:space="0"/>
              <w:right w:val="single" w:color="auto" w:sz="4" w:space="0"/>
            </w:tcBorders>
            <w:shd w:val="clear" w:color="auto" w:fill="auto"/>
            <w:vAlign w:val="center"/>
          </w:tcPr>
          <w:p w14:paraId="68B287D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经验/预期赔付率</w:t>
            </w:r>
          </w:p>
        </w:tc>
        <w:tc>
          <w:tcPr>
            <w:tcW w:w="1553" w:type="dxa"/>
            <w:tcBorders>
              <w:top w:val="single" w:color="auto" w:sz="4" w:space="0"/>
              <w:left w:val="single" w:color="auto" w:sz="4" w:space="0"/>
              <w:bottom w:val="single" w:color="auto" w:sz="4" w:space="0"/>
              <w:right w:val="single" w:color="auto" w:sz="4" w:space="0"/>
            </w:tcBorders>
            <w:shd w:val="clear" w:color="auto" w:fill="auto"/>
            <w:vAlign w:val="center"/>
          </w:tcPr>
          <w:p w14:paraId="2F13C15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调整系数</w:t>
            </w:r>
          </w:p>
        </w:tc>
      </w:tr>
      <w:tr w14:paraId="69CEB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6969" w:type="dxa"/>
            <w:tcBorders>
              <w:top w:val="single" w:color="auto" w:sz="4" w:space="0"/>
              <w:left w:val="single" w:color="auto" w:sz="4" w:space="0"/>
              <w:bottom w:val="single" w:color="auto" w:sz="4" w:space="0"/>
              <w:right w:val="single" w:color="auto" w:sz="4" w:space="0"/>
            </w:tcBorders>
            <w:shd w:val="clear" w:color="auto" w:fill="auto"/>
            <w:vAlign w:val="center"/>
          </w:tcPr>
          <w:p w14:paraId="6384CBE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0%-65%（含）</w:t>
            </w:r>
          </w:p>
        </w:tc>
        <w:tc>
          <w:tcPr>
            <w:tcW w:w="1553" w:type="dxa"/>
            <w:tcBorders>
              <w:top w:val="single" w:color="auto" w:sz="4" w:space="0"/>
              <w:left w:val="single" w:color="auto" w:sz="4" w:space="0"/>
              <w:bottom w:val="single" w:color="auto" w:sz="4" w:space="0"/>
              <w:right w:val="single" w:color="auto" w:sz="4" w:space="0"/>
            </w:tcBorders>
            <w:shd w:val="clear" w:color="auto" w:fill="auto"/>
            <w:vAlign w:val="center"/>
          </w:tcPr>
          <w:p w14:paraId="54D7020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[0.7,1.0]</w:t>
            </w:r>
          </w:p>
        </w:tc>
      </w:tr>
      <w:tr w14:paraId="5B762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6969" w:type="dxa"/>
            <w:tcBorders>
              <w:top w:val="single" w:color="auto" w:sz="4" w:space="0"/>
              <w:left w:val="single" w:color="auto" w:sz="4" w:space="0"/>
              <w:bottom w:val="single" w:color="auto" w:sz="4" w:space="0"/>
              <w:right w:val="single" w:color="auto" w:sz="4" w:space="0"/>
            </w:tcBorders>
            <w:shd w:val="clear" w:color="auto" w:fill="auto"/>
            <w:vAlign w:val="center"/>
          </w:tcPr>
          <w:p w14:paraId="7A9E2CD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65%以上</w:t>
            </w:r>
          </w:p>
        </w:tc>
        <w:tc>
          <w:tcPr>
            <w:tcW w:w="1553" w:type="dxa"/>
            <w:tcBorders>
              <w:top w:val="single" w:color="auto" w:sz="4" w:space="0"/>
              <w:left w:val="single" w:color="auto" w:sz="4" w:space="0"/>
              <w:bottom w:val="single" w:color="auto" w:sz="4" w:space="0"/>
              <w:right w:val="single" w:color="auto" w:sz="4" w:space="0"/>
            </w:tcBorders>
            <w:shd w:val="clear" w:color="auto" w:fill="auto"/>
            <w:vAlign w:val="center"/>
          </w:tcPr>
          <w:p w14:paraId="6A5A644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(1.0,1.3]</w:t>
            </w:r>
          </w:p>
        </w:tc>
      </w:tr>
    </w:tbl>
    <w:p w14:paraId="2ADA8CE5">
      <w:pPr>
        <w:keepNext w:val="0"/>
        <w:keepLines w:val="0"/>
        <w:pageBreakBefore w:val="0"/>
        <w:kinsoku/>
        <w:wordWrap/>
        <w:overflowPunct/>
        <w:topLinePunct w:val="0"/>
        <w:autoSpaceDE/>
        <w:autoSpaceDN/>
        <w:bidi w:val="0"/>
        <w:spacing w:line="240" w:lineRule="auto"/>
        <w:rPr>
          <w:rFonts w:hint="eastAsia" w:ascii="宋体" w:hAnsi="宋体" w:eastAsia="宋体" w:cs="宋体"/>
          <w:b/>
          <w:sz w:val="21"/>
          <w:szCs w:val="21"/>
        </w:rPr>
      </w:pPr>
    </w:p>
    <w:p w14:paraId="284C3DB3">
      <w:pPr>
        <w:keepNext w:val="0"/>
        <w:keepLines w:val="0"/>
        <w:pageBreakBefore w:val="0"/>
        <w:kinsoku/>
        <w:wordWrap/>
        <w:overflowPunct/>
        <w:topLinePunct w:val="0"/>
        <w:autoSpaceDE/>
        <w:autoSpaceDN/>
        <w:bidi w:val="0"/>
        <w:spacing w:line="240" w:lineRule="auto"/>
        <w:rPr>
          <w:rFonts w:hint="eastAsia" w:ascii="宋体" w:hAnsi="宋体" w:eastAsia="宋体" w:cs="宋体"/>
          <w:b/>
          <w:sz w:val="21"/>
          <w:szCs w:val="21"/>
          <w:lang w:val="en-US" w:eastAsia="zh-CN"/>
        </w:rPr>
      </w:pPr>
      <w:r>
        <w:rPr>
          <w:rFonts w:hint="eastAsia" w:ascii="宋体" w:hAnsi="宋体" w:eastAsia="宋体" w:cs="宋体"/>
          <w:b/>
          <w:sz w:val="21"/>
          <w:szCs w:val="21"/>
        </w:rPr>
        <w:t>三、保险费</w:t>
      </w:r>
      <w:r>
        <w:rPr>
          <w:rFonts w:hint="eastAsia" w:ascii="宋体" w:hAnsi="宋体" w:eastAsia="宋体" w:cs="宋体"/>
          <w:b/>
          <w:sz w:val="21"/>
          <w:szCs w:val="21"/>
          <w:lang w:val="en-US" w:eastAsia="zh-CN"/>
        </w:rPr>
        <w:t>计算公式</w:t>
      </w:r>
    </w:p>
    <w:p w14:paraId="69E8A260">
      <w:pPr>
        <w:keepNext w:val="0"/>
        <w:keepLines w:val="0"/>
        <w:pageBreakBefore w:val="0"/>
        <w:kinsoku/>
        <w:wordWrap/>
        <w:overflowPunct/>
        <w:topLinePunct w:val="0"/>
        <w:autoSpaceDE/>
        <w:autoSpaceDN/>
        <w:bidi w:val="0"/>
        <w:spacing w:line="240" w:lineRule="auto"/>
        <w:jc w:val="right"/>
        <w:rPr>
          <w:rStyle w:val="12"/>
          <w:rFonts w:hint="eastAsia" w:ascii="宋体" w:hAnsi="宋体" w:eastAsia="宋体" w:cs="宋体"/>
          <w:sz w:val="21"/>
          <w:szCs w:val="21"/>
          <w:lang w:val="en-US" w:eastAsia="zh-CN"/>
        </w:rPr>
      </w:pPr>
      <w:r>
        <w:rPr>
          <w:rStyle w:val="12"/>
          <w:rFonts w:hint="eastAsia" w:ascii="宋体" w:hAnsi="宋体" w:eastAsia="宋体" w:cs="宋体"/>
          <w:sz w:val="21"/>
          <w:szCs w:val="21"/>
          <w:lang w:val="en-US" w:eastAsia="zh-CN"/>
        </w:rPr>
        <w:t>单位：元</w:t>
      </w:r>
    </w:p>
    <w:p w14:paraId="73206547">
      <w:pPr>
        <w:keepNext w:val="0"/>
        <w:keepLines w:val="0"/>
        <w:pageBreakBefore w:val="0"/>
        <w:widowControl w:val="0"/>
        <w:kinsoku/>
        <w:wordWrap/>
        <w:overflowPunct/>
        <w:topLinePunct w:val="0"/>
        <w:autoSpaceDE/>
        <w:autoSpaceDN/>
        <w:bidi w:val="0"/>
        <w:adjustRightInd/>
        <w:snapToGrid/>
        <w:spacing w:after="0" w:line="24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1、必选</w:t>
      </w:r>
      <w:r>
        <w:rPr>
          <w:rFonts w:hint="eastAsia" w:ascii="宋体" w:hAnsi="宋体" w:eastAsia="宋体" w:cs="宋体"/>
          <w:sz w:val="21"/>
          <w:szCs w:val="21"/>
        </w:rPr>
        <w:t>责任保险费=意外伤害保险金额</w:t>
      </w:r>
      <w:r>
        <w:rPr>
          <w:rFonts w:hint="eastAsia" w:ascii="宋体" w:hAnsi="宋体" w:eastAsia="宋体" w:cs="宋体"/>
          <w:color w:val="000000" w:themeColor="text1"/>
          <w:sz w:val="21"/>
          <w:szCs w:val="21"/>
        </w:rPr>
        <w:t>×意外伤害</w:t>
      </w:r>
      <w:r>
        <w:rPr>
          <w:rFonts w:hint="eastAsia" w:ascii="宋体" w:hAnsi="宋体" w:eastAsia="宋体" w:cs="宋体"/>
          <w:color w:val="000000" w:themeColor="text1"/>
          <w:sz w:val="21"/>
          <w:szCs w:val="21"/>
          <w:lang w:val="en-US" w:eastAsia="zh-CN"/>
        </w:rPr>
        <w:t>保险金</w:t>
      </w:r>
      <w:r>
        <w:rPr>
          <w:rFonts w:hint="eastAsia" w:ascii="宋体" w:hAnsi="宋体" w:eastAsia="宋体" w:cs="宋体"/>
          <w:color w:val="000000" w:themeColor="text1"/>
          <w:sz w:val="21"/>
          <w:szCs w:val="21"/>
        </w:rPr>
        <w:t>基</w:t>
      </w:r>
      <w:r>
        <w:rPr>
          <w:rFonts w:hint="eastAsia" w:ascii="宋体" w:hAnsi="宋体" w:eastAsia="宋体" w:cs="宋体"/>
          <w:color w:val="000000" w:themeColor="text1"/>
          <w:sz w:val="21"/>
          <w:szCs w:val="21"/>
          <w:lang w:eastAsia="zh-Hans"/>
        </w:rPr>
        <w:t>准</w:t>
      </w:r>
      <w:r>
        <w:rPr>
          <w:rFonts w:hint="eastAsia" w:ascii="宋体" w:hAnsi="宋体" w:eastAsia="宋体" w:cs="宋体"/>
          <w:color w:val="000000" w:themeColor="text1"/>
          <w:sz w:val="21"/>
          <w:szCs w:val="21"/>
        </w:rPr>
        <w:t>费率</w:t>
      </w:r>
      <w:r>
        <w:rPr>
          <w:rFonts w:hint="eastAsia" w:ascii="宋体" w:hAnsi="宋体" w:eastAsia="宋体" w:cs="宋体"/>
          <w:sz w:val="21"/>
          <w:szCs w:val="21"/>
        </w:rPr>
        <w:t>×F4×F5×F6×F</w:t>
      </w:r>
      <w:r>
        <w:rPr>
          <w:rFonts w:hint="eastAsia" w:ascii="宋体" w:hAnsi="宋体" w:eastAsia="宋体" w:cs="宋体"/>
          <w:sz w:val="21"/>
          <w:szCs w:val="21"/>
          <w:lang w:val="en-US" w:eastAsia="zh-CN"/>
        </w:rPr>
        <w:t>7</w:t>
      </w:r>
    </w:p>
    <w:p w14:paraId="3CDA44A9">
      <w:pPr>
        <w:keepNext w:val="0"/>
        <w:keepLines w:val="0"/>
        <w:pageBreakBefore w:val="0"/>
        <w:widowControl w:val="0"/>
        <w:kinsoku/>
        <w:wordWrap/>
        <w:overflowPunct/>
        <w:topLinePunct w:val="0"/>
        <w:autoSpaceDE/>
        <w:autoSpaceDN/>
        <w:bidi w:val="0"/>
        <w:adjustRightInd/>
        <w:snapToGrid/>
        <w:spacing w:after="0" w:line="24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可选责任保险费=意外伤害</w:t>
      </w:r>
      <w:r>
        <w:rPr>
          <w:rFonts w:hint="eastAsia" w:ascii="宋体" w:hAnsi="宋体" w:eastAsia="宋体" w:cs="宋体"/>
          <w:sz w:val="21"/>
          <w:szCs w:val="21"/>
          <w:lang w:val="en-US" w:eastAsia="zh-CN"/>
        </w:rPr>
        <w:t>医疗</w:t>
      </w:r>
      <w:r>
        <w:rPr>
          <w:rFonts w:hint="eastAsia" w:ascii="宋体" w:hAnsi="宋体" w:eastAsia="宋体" w:cs="宋体"/>
          <w:sz w:val="21"/>
          <w:szCs w:val="21"/>
        </w:rPr>
        <w:t>保险金额</w:t>
      </w:r>
      <w:r>
        <w:rPr>
          <w:rFonts w:hint="eastAsia" w:ascii="宋体" w:hAnsi="宋体" w:eastAsia="宋体" w:cs="宋体"/>
          <w:color w:val="000000" w:themeColor="text1"/>
          <w:sz w:val="21"/>
          <w:szCs w:val="21"/>
        </w:rPr>
        <w:t>×意外伤害</w:t>
      </w:r>
      <w:r>
        <w:rPr>
          <w:rFonts w:hint="eastAsia" w:ascii="宋体" w:hAnsi="宋体" w:eastAsia="宋体" w:cs="宋体"/>
          <w:color w:val="000000" w:themeColor="text1"/>
          <w:sz w:val="21"/>
          <w:szCs w:val="21"/>
          <w:lang w:val="en-US" w:eastAsia="zh-CN"/>
        </w:rPr>
        <w:t>医疗保险金</w:t>
      </w:r>
      <w:r>
        <w:rPr>
          <w:rFonts w:hint="eastAsia" w:ascii="宋体" w:hAnsi="宋体" w:eastAsia="宋体" w:cs="宋体"/>
          <w:color w:val="000000" w:themeColor="text1"/>
          <w:sz w:val="21"/>
          <w:szCs w:val="21"/>
        </w:rPr>
        <w:t>基</w:t>
      </w:r>
      <w:r>
        <w:rPr>
          <w:rFonts w:hint="eastAsia" w:ascii="宋体" w:hAnsi="宋体" w:eastAsia="宋体" w:cs="宋体"/>
          <w:color w:val="000000" w:themeColor="text1"/>
          <w:sz w:val="21"/>
          <w:szCs w:val="21"/>
          <w:lang w:eastAsia="zh-Hans"/>
        </w:rPr>
        <w:t>准</w:t>
      </w:r>
      <w:r>
        <w:rPr>
          <w:rFonts w:hint="eastAsia" w:ascii="宋体" w:hAnsi="宋体" w:eastAsia="宋体" w:cs="宋体"/>
          <w:color w:val="000000" w:themeColor="text1"/>
          <w:sz w:val="21"/>
          <w:szCs w:val="21"/>
        </w:rPr>
        <w:t>费率×</w:t>
      </w:r>
      <w:r>
        <w:rPr>
          <w:rFonts w:hint="eastAsia" w:ascii="宋体" w:hAnsi="宋体" w:eastAsia="宋体" w:cs="宋体"/>
          <w:sz w:val="21"/>
          <w:szCs w:val="21"/>
        </w:rPr>
        <w:t>F1×F2×F3×F4×F5×F6×F</w:t>
      </w:r>
      <w:r>
        <w:rPr>
          <w:rFonts w:hint="eastAsia" w:ascii="宋体" w:hAnsi="宋体" w:eastAsia="宋体" w:cs="宋体"/>
          <w:sz w:val="21"/>
          <w:szCs w:val="21"/>
          <w:lang w:val="en-US" w:eastAsia="zh-CN"/>
        </w:rPr>
        <w:t>7</w:t>
      </w:r>
    </w:p>
    <w:p w14:paraId="2374A3DD">
      <w:pPr>
        <w:keepNext w:val="0"/>
        <w:keepLines w:val="0"/>
        <w:pageBreakBefore w:val="0"/>
        <w:kinsoku/>
        <w:wordWrap/>
        <w:overflowPunct/>
        <w:topLinePunct w:val="0"/>
        <w:autoSpaceDE/>
        <w:autoSpaceDN/>
        <w:bidi w:val="0"/>
        <w:spacing w:line="240" w:lineRule="auto"/>
        <w:rPr>
          <w:rStyle w:val="12"/>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保险费=</w:t>
      </w:r>
      <w:r>
        <w:rPr>
          <w:rFonts w:hint="eastAsia" w:ascii="宋体" w:hAnsi="宋体" w:eastAsia="宋体" w:cs="宋体"/>
          <w:sz w:val="21"/>
          <w:szCs w:val="21"/>
          <w:lang w:val="en-US" w:eastAsia="zh-CN"/>
        </w:rPr>
        <w:t>必选</w:t>
      </w:r>
      <w:r>
        <w:rPr>
          <w:rFonts w:hint="eastAsia" w:ascii="宋体" w:hAnsi="宋体" w:eastAsia="宋体" w:cs="宋体"/>
          <w:sz w:val="21"/>
          <w:szCs w:val="21"/>
        </w:rPr>
        <w:t>责任保险费+可选责任保险费</w:t>
      </w:r>
    </w:p>
    <w:p w14:paraId="2C3229CB">
      <w:pPr>
        <w:keepNext w:val="0"/>
        <w:keepLines w:val="0"/>
        <w:pageBreakBefore w:val="0"/>
        <w:kinsoku/>
        <w:wordWrap/>
        <w:overflowPunct/>
        <w:topLinePunct w:val="0"/>
        <w:autoSpaceDE/>
        <w:autoSpaceDN/>
        <w:bidi w:val="0"/>
        <w:spacing w:line="240" w:lineRule="auto"/>
        <w:rPr>
          <w:rStyle w:val="12"/>
          <w:rFonts w:hint="eastAsia" w:ascii="宋体" w:hAnsi="宋体" w:eastAsia="宋体" w:cs="宋体"/>
          <w:sz w:val="21"/>
          <w:szCs w:val="21"/>
        </w:rPr>
      </w:pPr>
    </w:p>
    <w:p w14:paraId="1CD97F4A">
      <w:pPr>
        <w:keepNext w:val="0"/>
        <w:keepLines w:val="0"/>
        <w:pageBreakBefore w:val="0"/>
        <w:kinsoku/>
        <w:wordWrap/>
        <w:overflowPunct/>
        <w:topLinePunct w:val="0"/>
        <w:autoSpaceDE/>
        <w:autoSpaceDN/>
        <w:bidi w:val="0"/>
        <w:spacing w:after="0" w:line="240" w:lineRule="auto"/>
        <w:ind w:firstLine="0"/>
        <w:rPr>
          <w:rFonts w:hint="eastAsia" w:ascii="宋体" w:hAnsi="宋体" w:eastAsia="宋体" w:cs="宋体"/>
          <w:b/>
          <w:sz w:val="21"/>
          <w:szCs w:val="21"/>
        </w:rPr>
      </w:pPr>
      <w:r>
        <w:rPr>
          <w:rFonts w:hint="eastAsia" w:ascii="宋体" w:hAnsi="宋体" w:eastAsia="宋体" w:cs="宋体"/>
          <w:b/>
          <w:sz w:val="21"/>
          <w:szCs w:val="21"/>
        </w:rPr>
        <w:t>四、短期费率表</w:t>
      </w:r>
    </w:p>
    <w:tbl>
      <w:tblPr>
        <w:tblStyle w:val="9"/>
        <w:tblW w:w="5000" w:type="pct"/>
        <w:jc w:val="center"/>
        <w:tblLayout w:type="autofit"/>
        <w:tblCellMar>
          <w:top w:w="15" w:type="dxa"/>
          <w:left w:w="15" w:type="dxa"/>
          <w:bottom w:w="15" w:type="dxa"/>
          <w:right w:w="15" w:type="dxa"/>
        </w:tblCellMar>
      </w:tblPr>
      <w:tblGrid>
        <w:gridCol w:w="1368"/>
        <w:gridCol w:w="542"/>
        <w:gridCol w:w="518"/>
        <w:gridCol w:w="646"/>
        <w:gridCol w:w="582"/>
        <w:gridCol w:w="582"/>
        <w:gridCol w:w="582"/>
        <w:gridCol w:w="582"/>
        <w:gridCol w:w="582"/>
        <w:gridCol w:w="582"/>
        <w:gridCol w:w="582"/>
        <w:gridCol w:w="582"/>
        <w:gridCol w:w="606"/>
      </w:tblGrid>
      <w:tr w14:paraId="246B5E16">
        <w:tblPrEx>
          <w:tblCellMar>
            <w:top w:w="15" w:type="dxa"/>
            <w:left w:w="15" w:type="dxa"/>
            <w:bottom w:w="15" w:type="dxa"/>
            <w:right w:w="15" w:type="dxa"/>
          </w:tblCellMar>
        </w:tblPrEx>
        <w:trPr>
          <w:trHeight w:val="452" w:hRule="atLeast"/>
          <w:jc w:val="center"/>
        </w:trPr>
        <w:tc>
          <w:tcPr>
            <w:tcW w:w="1368"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E723AEE">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color w:val="000000"/>
                <w:sz w:val="21"/>
                <w:szCs w:val="21"/>
              </w:rPr>
            </w:pPr>
            <w:bookmarkStart w:id="9" w:name="OLE_LINK2"/>
            <w:r>
              <w:rPr>
                <w:rFonts w:hint="eastAsia" w:ascii="宋体" w:hAnsi="宋体" w:eastAsia="宋体" w:cs="宋体"/>
                <w:color w:val="000000"/>
                <w:sz w:val="21"/>
                <w:szCs w:val="21"/>
              </w:rPr>
              <w:t>保险期间</w:t>
            </w:r>
          </w:p>
          <w:p w14:paraId="799BCA51">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(个月)</w:t>
            </w:r>
          </w:p>
        </w:tc>
        <w:tc>
          <w:tcPr>
            <w:tcW w:w="54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8AD8C98">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1</w:t>
            </w:r>
          </w:p>
        </w:tc>
        <w:tc>
          <w:tcPr>
            <w:tcW w:w="518"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4F79722">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2</w:t>
            </w:r>
          </w:p>
        </w:tc>
        <w:tc>
          <w:tcPr>
            <w:tcW w:w="64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96DCD1F">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3</w:t>
            </w:r>
          </w:p>
        </w:tc>
        <w:tc>
          <w:tcPr>
            <w:tcW w:w="58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462C29A">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4</w:t>
            </w:r>
          </w:p>
        </w:tc>
        <w:tc>
          <w:tcPr>
            <w:tcW w:w="58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BD06B74">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5</w:t>
            </w:r>
          </w:p>
        </w:tc>
        <w:tc>
          <w:tcPr>
            <w:tcW w:w="58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5B7355B">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6</w:t>
            </w:r>
          </w:p>
        </w:tc>
        <w:tc>
          <w:tcPr>
            <w:tcW w:w="58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086B368">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7</w:t>
            </w:r>
          </w:p>
        </w:tc>
        <w:tc>
          <w:tcPr>
            <w:tcW w:w="58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A9D8455">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8</w:t>
            </w:r>
          </w:p>
        </w:tc>
        <w:tc>
          <w:tcPr>
            <w:tcW w:w="58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7EA8BC4">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9</w:t>
            </w:r>
          </w:p>
        </w:tc>
        <w:tc>
          <w:tcPr>
            <w:tcW w:w="58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C00C4B5">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10</w:t>
            </w:r>
          </w:p>
        </w:tc>
        <w:tc>
          <w:tcPr>
            <w:tcW w:w="58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48719D0">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11</w:t>
            </w:r>
          </w:p>
        </w:tc>
        <w:tc>
          <w:tcPr>
            <w:tcW w:w="60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DF61408">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12</w:t>
            </w:r>
          </w:p>
        </w:tc>
      </w:tr>
      <w:tr w14:paraId="13188A8E">
        <w:tblPrEx>
          <w:tblCellMar>
            <w:top w:w="15" w:type="dxa"/>
            <w:left w:w="15" w:type="dxa"/>
            <w:bottom w:w="15" w:type="dxa"/>
            <w:right w:w="15" w:type="dxa"/>
          </w:tblCellMar>
        </w:tblPrEx>
        <w:trPr>
          <w:trHeight w:val="523" w:hRule="atLeast"/>
          <w:jc w:val="center"/>
        </w:trPr>
        <w:tc>
          <w:tcPr>
            <w:tcW w:w="1368"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6052A0A">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年</w:t>
            </w:r>
            <w:r>
              <w:rPr>
                <w:rFonts w:hint="eastAsia" w:ascii="宋体" w:hAnsi="宋体" w:eastAsia="宋体" w:cs="宋体"/>
                <w:color w:val="000000"/>
                <w:sz w:val="21"/>
                <w:szCs w:val="21"/>
                <w:lang w:val="en-US" w:eastAsia="zh-CN"/>
              </w:rPr>
              <w:t>保险费的</w:t>
            </w:r>
            <w:r>
              <w:rPr>
                <w:rFonts w:hint="eastAsia" w:ascii="宋体" w:hAnsi="宋体" w:eastAsia="宋体" w:cs="宋体"/>
                <w:color w:val="000000"/>
                <w:sz w:val="21"/>
                <w:szCs w:val="21"/>
              </w:rPr>
              <w:t>百分比(％)</w:t>
            </w:r>
          </w:p>
        </w:tc>
        <w:tc>
          <w:tcPr>
            <w:tcW w:w="54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F2A9660">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10</w:t>
            </w:r>
          </w:p>
        </w:tc>
        <w:tc>
          <w:tcPr>
            <w:tcW w:w="518"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FD7CB6D">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20</w:t>
            </w:r>
          </w:p>
        </w:tc>
        <w:tc>
          <w:tcPr>
            <w:tcW w:w="64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4A3D351">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30</w:t>
            </w:r>
          </w:p>
        </w:tc>
        <w:tc>
          <w:tcPr>
            <w:tcW w:w="58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BEE7F2E">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40</w:t>
            </w:r>
          </w:p>
        </w:tc>
        <w:tc>
          <w:tcPr>
            <w:tcW w:w="58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791B665">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50</w:t>
            </w:r>
          </w:p>
        </w:tc>
        <w:tc>
          <w:tcPr>
            <w:tcW w:w="58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C0EFA64">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60</w:t>
            </w:r>
          </w:p>
        </w:tc>
        <w:tc>
          <w:tcPr>
            <w:tcW w:w="58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5A87C90">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70</w:t>
            </w:r>
          </w:p>
        </w:tc>
        <w:tc>
          <w:tcPr>
            <w:tcW w:w="58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BBF5690">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80</w:t>
            </w:r>
          </w:p>
        </w:tc>
        <w:tc>
          <w:tcPr>
            <w:tcW w:w="58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6689944">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85</w:t>
            </w:r>
          </w:p>
        </w:tc>
        <w:tc>
          <w:tcPr>
            <w:tcW w:w="58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5CCC66E">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90</w:t>
            </w:r>
          </w:p>
        </w:tc>
        <w:tc>
          <w:tcPr>
            <w:tcW w:w="58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BE5460D">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95</w:t>
            </w:r>
          </w:p>
        </w:tc>
        <w:tc>
          <w:tcPr>
            <w:tcW w:w="60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5BD1D45">
            <w:pPr>
              <w:pStyle w:val="7"/>
              <w:keepNext w:val="0"/>
              <w:keepLines w:val="0"/>
              <w:pageBreakBefore w:val="0"/>
              <w:widowControl/>
              <w:kinsoku/>
              <w:wordWrap/>
              <w:overflowPunct/>
              <w:topLinePunct w:val="0"/>
              <w:autoSpaceDE/>
              <w:autoSpaceDN/>
              <w:bidi w:val="0"/>
              <w:spacing w:before="0" w:beforeAutospacing="0" w:after="0" w:afterAutospacing="0" w:line="240" w:lineRule="auto"/>
              <w:jc w:val="center"/>
              <w:rPr>
                <w:rFonts w:hint="eastAsia" w:ascii="宋体" w:hAnsi="宋体" w:eastAsia="宋体" w:cs="宋体"/>
                <w:sz w:val="21"/>
                <w:szCs w:val="21"/>
              </w:rPr>
            </w:pPr>
            <w:r>
              <w:rPr>
                <w:rFonts w:hint="eastAsia" w:ascii="宋体" w:hAnsi="宋体" w:eastAsia="宋体" w:cs="宋体"/>
                <w:color w:val="000000"/>
                <w:sz w:val="21"/>
                <w:szCs w:val="21"/>
              </w:rPr>
              <w:t>100</w:t>
            </w:r>
          </w:p>
        </w:tc>
      </w:tr>
    </w:tbl>
    <w:p w14:paraId="57199F08">
      <w:pPr>
        <w:keepNext w:val="0"/>
        <w:keepLines w:val="0"/>
        <w:pageBreakBefore w:val="0"/>
        <w:kinsoku/>
        <w:wordWrap/>
        <w:overflowPunct/>
        <w:topLinePunct w:val="0"/>
        <w:autoSpaceDE/>
        <w:autoSpaceDN/>
        <w:bidi w:val="0"/>
        <w:spacing w:after="0" w:line="240" w:lineRule="auto"/>
        <w:rPr>
          <w:rFonts w:hint="eastAsia" w:ascii="宋体" w:hAnsi="宋体" w:eastAsia="宋体" w:cs="宋体"/>
          <w:sz w:val="21"/>
          <w:szCs w:val="21"/>
        </w:rPr>
      </w:pPr>
      <w:r>
        <w:rPr>
          <w:rFonts w:hint="eastAsia" w:ascii="宋体" w:hAnsi="宋体" w:eastAsia="宋体" w:cs="宋体"/>
          <w:color w:val="000000"/>
          <w:sz w:val="21"/>
          <w:szCs w:val="21"/>
        </w:rPr>
        <w:t>注：保险期间不足1个月的，按1个月计算；保险期间在1个月以上，不足2个月的，按2个月计算；保险期间在2个月以上，不足3个月的，按3个月计算，依此类推。</w:t>
      </w:r>
      <w:bookmarkEnd w:id="9"/>
    </w:p>
    <w:p w14:paraId="44BE78C4">
      <w:pPr>
        <w:spacing w:line="360" w:lineRule="auto"/>
        <w:rPr>
          <w:rStyle w:val="12"/>
          <w:rFonts w:hint="eastAsia" w:ascii="宋体" w:hAnsi="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6115942"/>
    </w:sdtPr>
    <w:sdtContent>
      <w:p w14:paraId="4F438182">
        <w:pPr>
          <w:pStyle w:val="5"/>
          <w:jc w:val="center"/>
        </w:pPr>
        <w:r>
          <w:rPr>
            <w:lang w:val="zh-CN"/>
          </w:rPr>
          <w:fldChar w:fldCharType="begin"/>
        </w:r>
        <w:r>
          <w:rPr>
            <w:lang w:val="zh-CN"/>
          </w:rPr>
          <w:instrText xml:space="preserve"> PAGE   \* MERGEFORMAT </w:instrText>
        </w:r>
        <w:r>
          <w:rPr>
            <w:lang w:val="zh-CN"/>
          </w:rPr>
          <w:fldChar w:fldCharType="separate"/>
        </w:r>
        <w:r>
          <w:rPr>
            <w:lang w:val="zh-CN"/>
          </w:rPr>
          <w:t>1</w:t>
        </w:r>
        <w:r>
          <w:rPr>
            <w:lang w:val="zh-CN"/>
          </w:rPr>
          <w:fldChar w:fldCharType="end"/>
        </w:r>
      </w:p>
    </w:sdtContent>
  </w:sdt>
  <w:p w14:paraId="40892C6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E607C9"/>
    <w:multiLevelType w:val="singleLevel"/>
    <w:tmpl w:val="5DE607C9"/>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RlODNhZmI4YWY4ZmYzMmUwNTU4NzQ2MTJhZGM5MGYifQ=="/>
  </w:docVars>
  <w:rsids>
    <w:rsidRoot w:val="00566713"/>
    <w:rsid w:val="0001040E"/>
    <w:rsid w:val="00022F0E"/>
    <w:rsid w:val="00032C96"/>
    <w:rsid w:val="000549D9"/>
    <w:rsid w:val="00092496"/>
    <w:rsid w:val="000F0962"/>
    <w:rsid w:val="001364CA"/>
    <w:rsid w:val="001A63BF"/>
    <w:rsid w:val="001E1107"/>
    <w:rsid w:val="002256ED"/>
    <w:rsid w:val="00255D81"/>
    <w:rsid w:val="002A306E"/>
    <w:rsid w:val="002D1E57"/>
    <w:rsid w:val="002D300A"/>
    <w:rsid w:val="002E7571"/>
    <w:rsid w:val="002F5966"/>
    <w:rsid w:val="00316284"/>
    <w:rsid w:val="0034389C"/>
    <w:rsid w:val="003C0D98"/>
    <w:rsid w:val="003D6BF8"/>
    <w:rsid w:val="00415F52"/>
    <w:rsid w:val="004632A1"/>
    <w:rsid w:val="00473684"/>
    <w:rsid w:val="0048545C"/>
    <w:rsid w:val="00500DC5"/>
    <w:rsid w:val="00566713"/>
    <w:rsid w:val="005D1BB1"/>
    <w:rsid w:val="006026B8"/>
    <w:rsid w:val="0065085A"/>
    <w:rsid w:val="00666D06"/>
    <w:rsid w:val="006943E1"/>
    <w:rsid w:val="006D1DBE"/>
    <w:rsid w:val="006E3AC7"/>
    <w:rsid w:val="006F43F9"/>
    <w:rsid w:val="007504D6"/>
    <w:rsid w:val="007622D4"/>
    <w:rsid w:val="00766BC7"/>
    <w:rsid w:val="007B7126"/>
    <w:rsid w:val="00826B33"/>
    <w:rsid w:val="008B1548"/>
    <w:rsid w:val="008B4BB3"/>
    <w:rsid w:val="008E7C41"/>
    <w:rsid w:val="009F3B0F"/>
    <w:rsid w:val="00A3711A"/>
    <w:rsid w:val="00A56246"/>
    <w:rsid w:val="00A954B7"/>
    <w:rsid w:val="00AB475F"/>
    <w:rsid w:val="00AE0F15"/>
    <w:rsid w:val="00B363CC"/>
    <w:rsid w:val="00B64163"/>
    <w:rsid w:val="00B67910"/>
    <w:rsid w:val="00B84BA2"/>
    <w:rsid w:val="00BC38D4"/>
    <w:rsid w:val="00C42D89"/>
    <w:rsid w:val="00C51CE5"/>
    <w:rsid w:val="00CB31A1"/>
    <w:rsid w:val="00D16E20"/>
    <w:rsid w:val="00D22761"/>
    <w:rsid w:val="00D305FC"/>
    <w:rsid w:val="00D408E3"/>
    <w:rsid w:val="00D40DB7"/>
    <w:rsid w:val="00D469E4"/>
    <w:rsid w:val="00E43A05"/>
    <w:rsid w:val="00E85C29"/>
    <w:rsid w:val="00EC14FE"/>
    <w:rsid w:val="00EC39B5"/>
    <w:rsid w:val="00EF21BF"/>
    <w:rsid w:val="00F21199"/>
    <w:rsid w:val="00F22A2F"/>
    <w:rsid w:val="00F236A1"/>
    <w:rsid w:val="01D978D7"/>
    <w:rsid w:val="045F10C4"/>
    <w:rsid w:val="06F66A43"/>
    <w:rsid w:val="09D53401"/>
    <w:rsid w:val="0A050F5B"/>
    <w:rsid w:val="24C7381E"/>
    <w:rsid w:val="28284274"/>
    <w:rsid w:val="36A706DB"/>
    <w:rsid w:val="5E3114F7"/>
    <w:rsid w:val="5FE32FEE"/>
    <w:rsid w:val="65B5037E"/>
    <w:rsid w:val="73B80E43"/>
    <w:rsid w:val="7A6342C8"/>
    <w:rsid w:val="7F8B2F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unhideWhenUsed/>
    <w:qFormat/>
    <w:uiPriority w:val="99"/>
    <w:pPr>
      <w:jc w:val="left"/>
    </w:pPr>
  </w:style>
  <w:style w:type="paragraph" w:styleId="3">
    <w:name w:val="Body Text Indent 2"/>
    <w:basedOn w:val="1"/>
    <w:link w:val="17"/>
    <w:qFormat/>
    <w:uiPriority w:val="0"/>
    <w:pPr>
      <w:ind w:firstLine="540" w:firstLineChars="257"/>
    </w:pPr>
    <w:rPr>
      <w:rFonts w:ascii="宋体" w:hAnsi="宋体"/>
    </w:rPr>
  </w:style>
  <w:style w:type="paragraph" w:styleId="4">
    <w:name w:val="Balloon Text"/>
    <w:basedOn w:val="1"/>
    <w:link w:val="18"/>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qFormat/>
    <w:uiPriority w:val="0"/>
    <w:pPr>
      <w:widowControl/>
      <w:spacing w:before="100" w:beforeAutospacing="1" w:after="100" w:afterAutospacing="1"/>
      <w:jc w:val="left"/>
    </w:pPr>
    <w:rPr>
      <w:rFonts w:hint="eastAsia" w:ascii="宋体" w:hAnsi="宋体"/>
      <w:kern w:val="0"/>
      <w:sz w:val="24"/>
    </w:rPr>
  </w:style>
  <w:style w:type="paragraph" w:styleId="8">
    <w:name w:val="annotation subject"/>
    <w:basedOn w:val="2"/>
    <w:next w:val="2"/>
    <w:link w:val="20"/>
    <w:unhideWhenUsed/>
    <w:qFormat/>
    <w:uiPriority w:val="99"/>
    <w:rPr>
      <w:b/>
      <w:bCs/>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unhideWhenUsed/>
    <w:qFormat/>
    <w:uiPriority w:val="99"/>
    <w:rPr>
      <w:sz w:val="21"/>
      <w:szCs w:val="21"/>
    </w:rPr>
  </w:style>
  <w:style w:type="character" w:customStyle="1" w:styleId="13">
    <w:name w:val="页眉 字符"/>
    <w:basedOn w:val="11"/>
    <w:link w:val="6"/>
    <w:qFormat/>
    <w:uiPriority w:val="99"/>
    <w:rPr>
      <w:sz w:val="18"/>
      <w:szCs w:val="18"/>
    </w:rPr>
  </w:style>
  <w:style w:type="character" w:customStyle="1" w:styleId="14">
    <w:name w:val="页脚 字符"/>
    <w:basedOn w:val="11"/>
    <w:link w:val="5"/>
    <w:qFormat/>
    <w:uiPriority w:val="99"/>
    <w:rPr>
      <w:sz w:val="18"/>
      <w:szCs w:val="18"/>
    </w:rPr>
  </w:style>
  <w:style w:type="character" w:customStyle="1" w:styleId="15">
    <w:name w:val="apple-converted-space"/>
    <w:basedOn w:val="11"/>
    <w:qFormat/>
    <w:uiPriority w:val="0"/>
  </w:style>
  <w:style w:type="character" w:customStyle="1" w:styleId="16">
    <w:name w:val="apple-style-span"/>
    <w:basedOn w:val="11"/>
    <w:qFormat/>
    <w:uiPriority w:val="0"/>
  </w:style>
  <w:style w:type="character" w:customStyle="1" w:styleId="17">
    <w:name w:val="正文文本缩进 2 字符"/>
    <w:basedOn w:val="11"/>
    <w:link w:val="3"/>
    <w:qFormat/>
    <w:uiPriority w:val="0"/>
    <w:rPr>
      <w:rFonts w:ascii="宋体" w:hAnsi="宋体" w:eastAsia="宋体" w:cs="Times New Roman"/>
      <w:szCs w:val="24"/>
    </w:rPr>
  </w:style>
  <w:style w:type="character" w:customStyle="1" w:styleId="18">
    <w:name w:val="批注框文本 字符"/>
    <w:basedOn w:val="11"/>
    <w:link w:val="4"/>
    <w:semiHidden/>
    <w:qFormat/>
    <w:uiPriority w:val="99"/>
    <w:rPr>
      <w:rFonts w:ascii="Times New Roman" w:hAnsi="Times New Roman" w:eastAsia="宋体" w:cs="Times New Roman"/>
      <w:sz w:val="18"/>
      <w:szCs w:val="18"/>
    </w:rPr>
  </w:style>
  <w:style w:type="character" w:customStyle="1" w:styleId="19">
    <w:name w:val="批注文字 字符"/>
    <w:basedOn w:val="11"/>
    <w:link w:val="2"/>
    <w:semiHidden/>
    <w:qFormat/>
    <w:uiPriority w:val="99"/>
    <w:rPr>
      <w:rFonts w:ascii="Times New Roman" w:hAnsi="Times New Roman" w:eastAsia="宋体" w:cs="Times New Roman"/>
      <w:szCs w:val="24"/>
    </w:rPr>
  </w:style>
  <w:style w:type="character" w:customStyle="1" w:styleId="20">
    <w:name w:val="批注主题 字符"/>
    <w:basedOn w:val="19"/>
    <w:link w:val="8"/>
    <w:semiHidden/>
    <w:qFormat/>
    <w:uiPriority w:val="99"/>
    <w:rPr>
      <w:rFonts w:ascii="Times New Roman" w:hAnsi="Times New Roman" w:eastAsia="宋体" w:cs="Times New Roman"/>
      <w:b/>
      <w:bCs/>
      <w:szCs w:val="24"/>
    </w:rPr>
  </w:style>
  <w:style w:type="paragraph" w:customStyle="1" w:styleId="21">
    <w:name w:val="无间隔1"/>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1160</Words>
  <Characters>1477</Characters>
  <Lines>2</Lines>
  <Paragraphs>1</Paragraphs>
  <TotalTime>5</TotalTime>
  <ScaleCrop>false</ScaleCrop>
  <LinksUpToDate>false</LinksUpToDate>
  <CharactersWithSpaces>1486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2016-11-04T05:49:00Z</dcterms:created>
  <dc:creator>封树静</dc:creator>
  <cp:lastModifiedBy>刘晴</cp:lastModifiedBy>
  <dcterms:modified xsi:type="dcterms:W3CDTF">2026-04-27T02:31:07Z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KSOTemplateDocerSaveRecord">
    <vt:lpwstr>eyJoZGlkIjoiZTgxNjkxMTI3MDM0ZTAxNzVjYTU1NTU5NTg3YzM1ZjgiLCJ1c2VySWQiOiI5NDkyODcyMTMifQ==</vt:lpwstr>
  </property>
  <property fmtid="{D5CDD505-2E9C-101B-9397-08002B2CF9AE}" pid="4" name="ICV">
    <vt:lpwstr>E1B2EA3B1CBA4945B42ED128CC456D09_12</vt:lpwstr>
  </property>
</Properties>
</file>